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D2486" w14:textId="77777777" w:rsidR="00A674C0" w:rsidRPr="001C7788" w:rsidRDefault="00A674C0" w:rsidP="00A200C4">
      <w:pPr>
        <w:tabs>
          <w:tab w:val="left" w:pos="3960"/>
        </w:tabs>
        <w:spacing w:after="120" w:line="360" w:lineRule="auto"/>
        <w:jc w:val="both"/>
        <w:rPr>
          <w:rFonts w:ascii="Bookman Old Style" w:hAnsi="Bookman Old Style"/>
          <w:sz w:val="26"/>
        </w:rPr>
      </w:pPr>
      <w:r w:rsidRPr="001C7788">
        <w:rPr>
          <w:rFonts w:ascii="Bookman Old Style" w:hAnsi="Bookman Old Style"/>
          <w:sz w:val="26"/>
          <w:u w:val="single"/>
        </w:rPr>
        <w:tab/>
      </w:r>
      <w:r w:rsidRPr="001C7788">
        <w:rPr>
          <w:rFonts w:ascii="Bookman Old Style" w:hAnsi="Bookman Old Style"/>
          <w:sz w:val="26"/>
          <w:u w:val="single"/>
        </w:rPr>
        <w:tab/>
      </w:r>
      <w:r w:rsidRPr="001C7788">
        <w:rPr>
          <w:rFonts w:ascii="Bookman Old Style" w:hAnsi="Bookman Old Style"/>
          <w:sz w:val="26"/>
        </w:rPr>
        <w:t>, the defendant in this case, has been charged with the crime of theft by receiving in the third degree.</w:t>
      </w:r>
    </w:p>
    <w:p w14:paraId="211EF628" w14:textId="77777777" w:rsidR="00A674C0" w:rsidRPr="001C7788" w:rsidRDefault="00A674C0" w:rsidP="00A674C0">
      <w:pPr>
        <w:pStyle w:val="BodyTextIndent2"/>
        <w:ind w:left="0" w:firstLine="0"/>
      </w:pPr>
      <w:r w:rsidRPr="001C7788">
        <w:t>To prove that the defendant committed this crime, the state must prove beyond a reasonable doubt each of the following elements:</w:t>
      </w:r>
    </w:p>
    <w:p w14:paraId="3BD62F54" w14:textId="77777777" w:rsidR="00A674C0" w:rsidRPr="001C7788" w:rsidRDefault="00A674C0" w:rsidP="00A674C0">
      <w:pPr>
        <w:pStyle w:val="BodyTextIndent"/>
        <w:spacing w:after="120"/>
        <w:ind w:left="720" w:hanging="720"/>
      </w:pPr>
      <w:r w:rsidRPr="001C7788">
        <w:t>(1)</w:t>
      </w:r>
      <w:r w:rsidRPr="001C7788">
        <w:tab/>
        <w:t>the defendant bought, received, retained, concealed, or disposed of stolen property;</w:t>
      </w:r>
    </w:p>
    <w:p w14:paraId="22E27858" w14:textId="77777777" w:rsidR="00A674C0" w:rsidRPr="001C7788" w:rsidRDefault="00A674C0" w:rsidP="00A674C0">
      <w:pPr>
        <w:pStyle w:val="BodyTextIndent"/>
        <w:spacing w:after="120"/>
        <w:ind w:left="720" w:hanging="720"/>
      </w:pPr>
      <w:r w:rsidRPr="001C7788">
        <w:t>(2)</w:t>
      </w:r>
      <w:r w:rsidRPr="001C7788">
        <w:tab/>
        <w:t>the defendant recklessly disregarded that the property was stolen;</w:t>
      </w:r>
    </w:p>
    <w:p w14:paraId="652F7EBD" w14:textId="77777777" w:rsidR="00A674C0" w:rsidRPr="001C7788" w:rsidRDefault="00A674C0" w:rsidP="00A674C0">
      <w:pPr>
        <w:pStyle w:val="BodyTextIndent"/>
        <w:spacing w:after="120"/>
        <w:ind w:left="720" w:hanging="720"/>
      </w:pPr>
      <w:r w:rsidRPr="001C7788">
        <w:t>(3)</w:t>
      </w:r>
      <w:r w:rsidRPr="001C7788">
        <w:tab/>
        <w:t xml:space="preserve">the defendant intended to deprive another of the property or to appropriate the stolen property to </w:t>
      </w:r>
      <w:r w:rsidR="00DD0D03">
        <w:t>the defendant</w:t>
      </w:r>
      <w:r w:rsidR="00417F3A">
        <w:t>,</w:t>
      </w:r>
      <w:r w:rsidRPr="001C7788">
        <w:t xml:space="preserve"> or a third person who was not the rightful owner; </w:t>
      </w:r>
      <w:r w:rsidRPr="001C7788">
        <w:rPr>
          <w:bCs/>
        </w:rPr>
        <w:t>[</w:t>
      </w:r>
      <w:r w:rsidRPr="001C7788">
        <w:t>and</w:t>
      </w:r>
      <w:r w:rsidRPr="001C7788">
        <w:rPr>
          <w:bCs/>
        </w:rPr>
        <w:t>]</w:t>
      </w:r>
    </w:p>
    <w:p w14:paraId="6A1E1065" w14:textId="77777777" w:rsidR="00A674C0" w:rsidRPr="001C7788" w:rsidRDefault="00A674C0" w:rsidP="00A674C0">
      <w:pPr>
        <w:spacing w:before="120" w:after="120" w:line="360" w:lineRule="auto"/>
        <w:ind w:left="720" w:right="18" w:hanging="720"/>
        <w:jc w:val="both"/>
        <w:rPr>
          <w:rFonts w:ascii="Bookman Old Style" w:hAnsi="Bookman Old Style"/>
          <w:sz w:val="26"/>
        </w:rPr>
      </w:pPr>
      <w:r w:rsidRPr="001C7788">
        <w:rPr>
          <w:rFonts w:ascii="Bookman Old Style" w:hAnsi="Bookman Old Style"/>
          <w:bCs/>
          <w:sz w:val="26"/>
        </w:rPr>
        <w:t>[</w:t>
      </w:r>
      <w:r w:rsidRPr="001C7788">
        <w:rPr>
          <w:rFonts w:ascii="Bookman Old Style" w:hAnsi="Bookman Old Style"/>
          <w:sz w:val="26"/>
        </w:rPr>
        <w:t>(4)</w:t>
      </w:r>
      <w:r w:rsidRPr="001C7788">
        <w:rPr>
          <w:rFonts w:ascii="Bookman Old Style" w:hAnsi="Bookman Old Style"/>
          <w:sz w:val="26"/>
        </w:rPr>
        <w:tab/>
        <w:t>the value of the property was $</w:t>
      </w:r>
      <w:r w:rsidR="00DD0D03">
        <w:rPr>
          <w:rFonts w:ascii="Bookman Old Style" w:hAnsi="Bookman Old Style"/>
          <w:sz w:val="26"/>
        </w:rPr>
        <w:t>250</w:t>
      </w:r>
      <w:r w:rsidR="00DD0D03" w:rsidRPr="001C7788">
        <w:rPr>
          <w:rFonts w:ascii="Bookman Old Style" w:hAnsi="Bookman Old Style"/>
          <w:sz w:val="26"/>
        </w:rPr>
        <w:t xml:space="preserve"> </w:t>
      </w:r>
      <w:r w:rsidRPr="001C7788">
        <w:rPr>
          <w:rFonts w:ascii="Bookman Old Style" w:hAnsi="Bookman Old Style"/>
          <w:sz w:val="26"/>
        </w:rPr>
        <w:t>or more.</w:t>
      </w:r>
      <w:r w:rsidRPr="001C7788">
        <w:rPr>
          <w:rFonts w:ascii="Bookman Old Style" w:hAnsi="Bookman Old Style"/>
          <w:bCs/>
          <w:sz w:val="26"/>
        </w:rPr>
        <w:t>]</w:t>
      </w:r>
      <w:r w:rsidRPr="001C7788">
        <w:rPr>
          <w:rFonts w:ascii="Bookman Old Style" w:hAnsi="Bookman Old Style"/>
          <w:sz w:val="26"/>
        </w:rPr>
        <w:t xml:space="preserve"> </w:t>
      </w:r>
    </w:p>
    <w:p w14:paraId="109F7DC0" w14:textId="279261CD" w:rsidR="00A674C0" w:rsidRDefault="00BD2F98" w:rsidP="00A674C0">
      <w:pPr>
        <w:spacing w:before="120" w:after="120" w:line="360" w:lineRule="auto"/>
        <w:ind w:left="720" w:right="18" w:hanging="720"/>
        <w:jc w:val="both"/>
        <w:rPr>
          <w:rFonts w:ascii="Bookman Old Style" w:hAnsi="Bookman Old Style"/>
          <w:bCs/>
          <w:sz w:val="26"/>
        </w:rPr>
      </w:pPr>
      <w:r>
        <w:rPr>
          <w:rFonts w:ascii="Bookman Old Style" w:hAnsi="Bookman Old Style"/>
          <w:sz w:val="26"/>
        </w:rPr>
        <w:t>[</w:t>
      </w:r>
      <w:r w:rsidR="00A674C0" w:rsidRPr="001C7788">
        <w:rPr>
          <w:rFonts w:ascii="Bookman Old Style" w:hAnsi="Bookman Old Style"/>
          <w:sz w:val="26"/>
        </w:rPr>
        <w:t>(</w:t>
      </w:r>
      <w:r>
        <w:rPr>
          <w:rFonts w:ascii="Bookman Old Style" w:hAnsi="Bookman Old Style"/>
          <w:sz w:val="26"/>
        </w:rPr>
        <w:t>4</w:t>
      </w:r>
      <w:r w:rsidR="00A674C0" w:rsidRPr="001C7788">
        <w:rPr>
          <w:rFonts w:ascii="Bookman Old Style" w:hAnsi="Bookman Old Style"/>
          <w:sz w:val="26"/>
        </w:rPr>
        <w:t xml:space="preserve">) </w:t>
      </w:r>
      <w:r w:rsidR="00A674C0" w:rsidRPr="001C7788">
        <w:rPr>
          <w:rFonts w:ascii="Bookman Old Style" w:hAnsi="Bookman Old Style"/>
          <w:sz w:val="26"/>
        </w:rPr>
        <w:tab/>
        <w:t>within the past five years, the defendant has been convicted and sentenced for theft</w:t>
      </w:r>
      <w:r w:rsidR="00DD0D03">
        <w:rPr>
          <w:rFonts w:ascii="Bookman Old Style" w:hAnsi="Bookman Old Style"/>
          <w:sz w:val="26"/>
        </w:rPr>
        <w:t xml:space="preserve"> or concealment of merchandise</w:t>
      </w:r>
      <w:r w:rsidR="00A674C0" w:rsidRPr="001C7788">
        <w:rPr>
          <w:rFonts w:ascii="Bookman Old Style" w:hAnsi="Bookman Old Style"/>
          <w:sz w:val="26"/>
        </w:rPr>
        <w:t xml:space="preserve"> on </w:t>
      </w:r>
      <w:r w:rsidR="001D467F">
        <w:rPr>
          <w:rFonts w:ascii="Bookman Old Style" w:hAnsi="Bookman Old Style"/>
          <w:sz w:val="26"/>
        </w:rPr>
        <w:t xml:space="preserve">three </w:t>
      </w:r>
      <w:r w:rsidR="00A674C0" w:rsidRPr="001C7788">
        <w:rPr>
          <w:rFonts w:ascii="Bookman Old Style" w:hAnsi="Bookman Old Style"/>
          <w:sz w:val="26"/>
        </w:rPr>
        <w:t>or more separate occasions in this or another jurisdiction.</w:t>
      </w:r>
      <w:r w:rsidR="00A674C0" w:rsidRPr="001C7788">
        <w:rPr>
          <w:rFonts w:ascii="Bookman Old Style" w:hAnsi="Bookman Old Style"/>
          <w:bCs/>
          <w:sz w:val="26"/>
        </w:rPr>
        <w:t>]</w:t>
      </w:r>
    </w:p>
    <w:p w14:paraId="2F9F3460" w14:textId="77777777" w:rsidR="00BD2F98" w:rsidRDefault="00BD2F98" w:rsidP="00A674C0">
      <w:pPr>
        <w:pStyle w:val="Heading1"/>
      </w:pPr>
    </w:p>
    <w:p w14:paraId="09A9163A" w14:textId="77777777" w:rsidR="00BD2F98" w:rsidRDefault="00BD2F98" w:rsidP="00A674C0">
      <w:pPr>
        <w:pStyle w:val="Heading1"/>
      </w:pPr>
    </w:p>
    <w:p w14:paraId="36C67042" w14:textId="77777777" w:rsidR="00A674C0" w:rsidRPr="001C7788" w:rsidRDefault="00A674C0" w:rsidP="00A674C0">
      <w:pPr>
        <w:pStyle w:val="Heading1"/>
      </w:pPr>
      <w:r w:rsidRPr="001C7788">
        <w:t>USE NOTE</w:t>
      </w:r>
    </w:p>
    <w:p w14:paraId="75CD6EDD" w14:textId="77777777" w:rsidR="00A674C0" w:rsidRPr="001C7788" w:rsidRDefault="00A674C0" w:rsidP="00A674C0">
      <w:pPr>
        <w:tabs>
          <w:tab w:val="right" w:pos="8910"/>
        </w:tabs>
        <w:spacing w:before="120" w:after="120"/>
        <w:jc w:val="both"/>
        <w:rPr>
          <w:rFonts w:ascii="Bookman Old Style" w:hAnsi="Bookman Old Style"/>
          <w:color w:val="000000"/>
          <w:sz w:val="26"/>
        </w:rPr>
      </w:pPr>
      <w:r w:rsidRPr="001C7788">
        <w:rPr>
          <w:rFonts w:ascii="Bookman Old Style" w:hAnsi="Bookman Old Style"/>
          <w:color w:val="000000"/>
          <w:sz w:val="26"/>
        </w:rPr>
        <w:t>The following terms are defined in other instructions:</w:t>
      </w:r>
    </w:p>
    <w:p w14:paraId="6522FAC9" w14:textId="17F88291" w:rsidR="00A674C0" w:rsidRPr="001C7788" w:rsidRDefault="00A200C4" w:rsidP="00A674C0">
      <w:pPr>
        <w:tabs>
          <w:tab w:val="right" w:pos="8910"/>
        </w:tabs>
        <w:ind w:left="1440"/>
        <w:jc w:val="both"/>
        <w:rPr>
          <w:rFonts w:ascii="Bookman Old Style" w:hAnsi="Bookman Old Style"/>
          <w:color w:val="000000"/>
          <w:sz w:val="26"/>
        </w:rPr>
      </w:pPr>
      <w:r>
        <w:rPr>
          <w:rFonts w:ascii="Bookman Old Style" w:hAnsi="Bookman Old Style"/>
          <w:color w:val="000000"/>
          <w:sz w:val="26"/>
        </w:rPr>
        <w:t>“appropriate”</w:t>
      </w:r>
      <w:r w:rsidR="00A674C0" w:rsidRPr="001C7788">
        <w:rPr>
          <w:rFonts w:ascii="Bookman Old Style" w:hAnsi="Bookman Old Style"/>
          <w:color w:val="000000"/>
          <w:sz w:val="26"/>
        </w:rPr>
        <w:t xml:space="preserve"> – 11.46.990</w:t>
      </w:r>
    </w:p>
    <w:p w14:paraId="09FBDD72" w14:textId="16A74B3C" w:rsidR="00A674C0" w:rsidRPr="001C7788" w:rsidRDefault="00A200C4" w:rsidP="00A674C0">
      <w:pPr>
        <w:tabs>
          <w:tab w:val="right" w:pos="8910"/>
        </w:tabs>
        <w:ind w:left="1440"/>
        <w:jc w:val="both"/>
        <w:rPr>
          <w:rFonts w:ascii="Bookman Old Style" w:hAnsi="Bookman Old Style"/>
          <w:color w:val="000000"/>
          <w:sz w:val="26"/>
        </w:rPr>
      </w:pPr>
      <w:r>
        <w:rPr>
          <w:rFonts w:ascii="Bookman Old Style" w:hAnsi="Bookman Old Style"/>
          <w:color w:val="000000"/>
          <w:sz w:val="26"/>
        </w:rPr>
        <w:t>“deprive”</w:t>
      </w:r>
      <w:r w:rsidR="00A674C0" w:rsidRPr="001C7788">
        <w:rPr>
          <w:rFonts w:ascii="Bookman Old Style" w:hAnsi="Bookman Old Style"/>
          <w:color w:val="000000"/>
          <w:sz w:val="26"/>
        </w:rPr>
        <w:t xml:space="preserve"> – 11.46.990</w:t>
      </w:r>
    </w:p>
    <w:p w14:paraId="1E6B0B86" w14:textId="2F016E89" w:rsidR="00A674C0" w:rsidRDefault="00A200C4" w:rsidP="00A674C0">
      <w:pPr>
        <w:tabs>
          <w:tab w:val="right" w:pos="8910"/>
        </w:tabs>
        <w:ind w:left="1440"/>
        <w:jc w:val="both"/>
        <w:rPr>
          <w:rFonts w:ascii="Bookman Old Style" w:hAnsi="Bookman Old Style"/>
          <w:color w:val="000000"/>
          <w:sz w:val="26"/>
        </w:rPr>
      </w:pPr>
      <w:r>
        <w:rPr>
          <w:rFonts w:ascii="Bookman Old Style" w:hAnsi="Bookman Old Style"/>
          <w:sz w:val="26"/>
        </w:rPr>
        <w:t>“intentionally”</w:t>
      </w:r>
      <w:r w:rsidR="00A674C0" w:rsidRPr="001C7788">
        <w:rPr>
          <w:rFonts w:ascii="Bookman Old Style" w:hAnsi="Bookman Old Style"/>
          <w:sz w:val="26"/>
        </w:rPr>
        <w:t xml:space="preserve"> </w:t>
      </w:r>
      <w:r w:rsidR="00A674C0" w:rsidRPr="001C7788">
        <w:rPr>
          <w:rFonts w:ascii="Bookman Old Style" w:hAnsi="Bookman Old Style"/>
          <w:color w:val="000000"/>
          <w:sz w:val="26"/>
        </w:rPr>
        <w:t>- 11.81.900(a)</w:t>
      </w:r>
    </w:p>
    <w:p w14:paraId="3E376B77" w14:textId="1F0658CE" w:rsidR="008A4AE8" w:rsidRPr="001C7788" w:rsidRDefault="00A200C4" w:rsidP="008A4AE8">
      <w:pPr>
        <w:tabs>
          <w:tab w:val="right" w:pos="8910"/>
        </w:tabs>
        <w:ind w:left="1440"/>
        <w:jc w:val="both"/>
        <w:rPr>
          <w:rFonts w:ascii="Bookman Old Style" w:hAnsi="Bookman Old Style"/>
          <w:color w:val="000000"/>
          <w:sz w:val="26"/>
        </w:rPr>
      </w:pPr>
      <w:r>
        <w:rPr>
          <w:rFonts w:ascii="Bookman Old Style" w:hAnsi="Bookman Old Style"/>
          <w:sz w:val="26"/>
        </w:rPr>
        <w:t>“property”</w:t>
      </w:r>
      <w:r w:rsidR="008A4AE8" w:rsidRPr="001C7788">
        <w:rPr>
          <w:rFonts w:ascii="Bookman Old Style" w:hAnsi="Bookman Old Style"/>
          <w:sz w:val="26"/>
        </w:rPr>
        <w:t xml:space="preserve"> - 11.81.900(b)</w:t>
      </w:r>
    </w:p>
    <w:p w14:paraId="284C058B" w14:textId="77777777" w:rsidR="00A200C4" w:rsidRDefault="008A4AE8" w:rsidP="00A674C0">
      <w:pPr>
        <w:tabs>
          <w:tab w:val="right" w:pos="8910"/>
        </w:tabs>
        <w:ind w:left="1440"/>
        <w:jc w:val="both"/>
        <w:rPr>
          <w:rFonts w:ascii="Bookman Old Style" w:hAnsi="Bookman Old Style"/>
          <w:sz w:val="26"/>
        </w:rPr>
      </w:pPr>
      <w:r>
        <w:rPr>
          <w:rFonts w:ascii="Bookman Old Style" w:hAnsi="Bookman Old Style"/>
          <w:sz w:val="26"/>
        </w:rPr>
        <w:t>“receives” -11.46.190(b)</w:t>
      </w:r>
    </w:p>
    <w:p w14:paraId="0BA5D47F" w14:textId="230F0BE5" w:rsidR="00A674C0" w:rsidRPr="001C7788" w:rsidRDefault="00A200C4" w:rsidP="00A674C0">
      <w:pPr>
        <w:tabs>
          <w:tab w:val="right" w:pos="8910"/>
        </w:tabs>
        <w:ind w:left="1440"/>
        <w:jc w:val="both"/>
        <w:rPr>
          <w:rFonts w:ascii="Bookman Old Style" w:hAnsi="Bookman Old Style"/>
          <w:color w:val="000000"/>
          <w:sz w:val="26"/>
        </w:rPr>
      </w:pPr>
      <w:r>
        <w:rPr>
          <w:rFonts w:ascii="Bookman Old Style" w:hAnsi="Bookman Old Style"/>
          <w:sz w:val="26"/>
        </w:rPr>
        <w:t>“</w:t>
      </w:r>
      <w:r w:rsidR="00A674C0">
        <w:rPr>
          <w:rFonts w:ascii="Bookman Old Style" w:hAnsi="Bookman Old Style"/>
          <w:sz w:val="26"/>
        </w:rPr>
        <w:t>reckless</w:t>
      </w:r>
      <w:r w:rsidR="00EF08BD" w:rsidRPr="00EF08BD">
        <w:rPr>
          <w:rFonts w:ascii="Bookman Old Style" w:hAnsi="Bookman Old Style"/>
          <w:color w:val="000000"/>
          <w:sz w:val="26"/>
        </w:rPr>
        <w:t>ly” - AS 11.81.900(a)</w:t>
      </w:r>
    </w:p>
    <w:p w14:paraId="6AD413D1" w14:textId="1E9CED2D" w:rsidR="00A674C0" w:rsidRPr="001C7788" w:rsidRDefault="00A200C4" w:rsidP="00A674C0">
      <w:pPr>
        <w:tabs>
          <w:tab w:val="right" w:pos="8910"/>
        </w:tabs>
        <w:ind w:left="1440"/>
        <w:jc w:val="both"/>
        <w:rPr>
          <w:rFonts w:ascii="Bookman Old Style" w:hAnsi="Bookman Old Style"/>
          <w:color w:val="000000"/>
          <w:sz w:val="26"/>
        </w:rPr>
      </w:pPr>
      <w:r>
        <w:rPr>
          <w:rFonts w:ascii="Bookman Old Style" w:hAnsi="Bookman Old Style"/>
          <w:color w:val="000000"/>
          <w:sz w:val="26"/>
        </w:rPr>
        <w:t>“</w:t>
      </w:r>
      <w:proofErr w:type="gramStart"/>
      <w:r>
        <w:rPr>
          <w:rFonts w:ascii="Bookman Old Style" w:hAnsi="Bookman Old Style"/>
          <w:color w:val="000000"/>
          <w:sz w:val="26"/>
        </w:rPr>
        <w:t>stolen</w:t>
      </w:r>
      <w:proofErr w:type="gramEnd"/>
      <w:r>
        <w:rPr>
          <w:rFonts w:ascii="Bookman Old Style" w:hAnsi="Bookman Old Style"/>
          <w:color w:val="000000"/>
          <w:sz w:val="26"/>
        </w:rPr>
        <w:t xml:space="preserve"> property”</w:t>
      </w:r>
      <w:r w:rsidR="00A674C0" w:rsidRPr="001C7788">
        <w:rPr>
          <w:rFonts w:ascii="Bookman Old Style" w:hAnsi="Bookman Old Style"/>
          <w:color w:val="000000"/>
          <w:sz w:val="26"/>
        </w:rPr>
        <w:t xml:space="preserve"> – 11.46.990</w:t>
      </w:r>
    </w:p>
    <w:p w14:paraId="58825D0E" w14:textId="77777777" w:rsidR="00A200C4" w:rsidRDefault="00A200C4" w:rsidP="00A674C0">
      <w:pPr>
        <w:tabs>
          <w:tab w:val="right" w:pos="8910"/>
        </w:tabs>
        <w:jc w:val="both"/>
        <w:rPr>
          <w:rFonts w:ascii="Bookman Old Style" w:hAnsi="Bookman Old Style"/>
          <w:color w:val="000000"/>
          <w:sz w:val="26"/>
        </w:rPr>
      </w:pPr>
    </w:p>
    <w:p w14:paraId="2AA59DFC" w14:textId="0F0F4979" w:rsidR="00A674C0" w:rsidRPr="001C7788" w:rsidRDefault="00A674C0" w:rsidP="00A674C0">
      <w:pPr>
        <w:tabs>
          <w:tab w:val="right" w:pos="8910"/>
        </w:tabs>
        <w:jc w:val="both"/>
        <w:rPr>
          <w:rFonts w:ascii="Bookman Old Style" w:hAnsi="Bookman Old Style"/>
          <w:color w:val="000000"/>
          <w:sz w:val="26"/>
        </w:rPr>
      </w:pPr>
      <w:r w:rsidRPr="001C7788">
        <w:rPr>
          <w:rFonts w:ascii="Bookman Old Style" w:hAnsi="Bookman Old Style"/>
          <w:color w:val="000000"/>
          <w:sz w:val="26"/>
        </w:rPr>
        <w:lastRenderedPageBreak/>
        <w:t xml:space="preserve">For determination of value, see </w:t>
      </w:r>
      <w:r>
        <w:rPr>
          <w:rFonts w:ascii="Bookman Old Style" w:hAnsi="Bookman Old Style"/>
          <w:color w:val="000000"/>
          <w:sz w:val="26"/>
        </w:rPr>
        <w:t xml:space="preserve">AS </w:t>
      </w:r>
      <w:r w:rsidRPr="001C7788">
        <w:rPr>
          <w:rFonts w:ascii="Bookman Old Style" w:hAnsi="Bookman Old Style"/>
          <w:color w:val="000000"/>
          <w:sz w:val="26"/>
        </w:rPr>
        <w:t>11.46.980.</w:t>
      </w:r>
    </w:p>
    <w:p w14:paraId="2EAA8425" w14:textId="77777777" w:rsidR="00A674C0" w:rsidRPr="001C7788" w:rsidRDefault="00A674C0" w:rsidP="00A674C0">
      <w:pPr>
        <w:tabs>
          <w:tab w:val="right" w:pos="8910"/>
        </w:tabs>
        <w:jc w:val="both"/>
        <w:rPr>
          <w:rFonts w:ascii="Bookman Old Style" w:hAnsi="Bookman Old Style"/>
          <w:color w:val="000000"/>
          <w:sz w:val="26"/>
        </w:rPr>
      </w:pPr>
    </w:p>
    <w:p w14:paraId="5E9C50BD" w14:textId="77777777" w:rsidR="00A674C0" w:rsidRPr="001C7788" w:rsidRDefault="00A674C0" w:rsidP="00A674C0">
      <w:pPr>
        <w:tabs>
          <w:tab w:val="right" w:pos="8910"/>
        </w:tabs>
        <w:jc w:val="both"/>
        <w:rPr>
          <w:rFonts w:ascii="Bookman Old Style" w:hAnsi="Bookman Old Style"/>
          <w:color w:val="000000"/>
          <w:sz w:val="26"/>
        </w:rPr>
      </w:pPr>
      <w:r w:rsidRPr="00A200C4">
        <w:rPr>
          <w:rFonts w:ascii="Bookman Old Style" w:hAnsi="Bookman Old Style"/>
          <w:i/>
          <w:iCs/>
          <w:color w:val="000000"/>
          <w:sz w:val="26"/>
        </w:rPr>
        <w:t>See Ace v. State</w:t>
      </w:r>
      <w:r w:rsidRPr="001C7788">
        <w:rPr>
          <w:rFonts w:ascii="Bookman Old Style" w:hAnsi="Bookman Old Style"/>
          <w:color w:val="000000"/>
          <w:sz w:val="26"/>
        </w:rPr>
        <w:t xml:space="preserve">, 672 P.2d 159 (Alaska App. 1983), for a discussion of the third element.  </w:t>
      </w:r>
    </w:p>
    <w:p w14:paraId="2DD23F93" w14:textId="77777777" w:rsidR="00A674C0" w:rsidRPr="001C7788" w:rsidRDefault="00A674C0" w:rsidP="00A674C0">
      <w:pPr>
        <w:tabs>
          <w:tab w:val="right" w:pos="8910"/>
        </w:tabs>
        <w:jc w:val="both"/>
        <w:rPr>
          <w:rFonts w:ascii="Bookman Old Style" w:hAnsi="Bookman Old Style"/>
          <w:color w:val="000000"/>
          <w:sz w:val="26"/>
        </w:rPr>
      </w:pPr>
    </w:p>
    <w:p w14:paraId="75DDA6DE" w14:textId="1974B4AD" w:rsidR="00A674C0" w:rsidRPr="00F3304A" w:rsidRDefault="00A674C0" w:rsidP="00A674C0">
      <w:pPr>
        <w:tabs>
          <w:tab w:val="right" w:pos="8910"/>
        </w:tabs>
        <w:jc w:val="both"/>
        <w:rPr>
          <w:rFonts w:ascii="Bookman Old Style" w:hAnsi="Bookman Old Style"/>
          <w:color w:val="000000"/>
          <w:sz w:val="26"/>
        </w:rPr>
      </w:pPr>
      <w:r w:rsidRPr="001C7788">
        <w:rPr>
          <w:rFonts w:ascii="Bookman Old Style" w:hAnsi="Bookman Old Style"/>
          <w:color w:val="000000"/>
          <w:sz w:val="26"/>
        </w:rPr>
        <w:tab/>
      </w:r>
      <w:r w:rsidRPr="00A200C4">
        <w:rPr>
          <w:rFonts w:ascii="Bookman Old Style" w:hAnsi="Bookman Old Style"/>
          <w:i/>
          <w:iCs/>
          <w:color w:val="000000"/>
          <w:sz w:val="26"/>
        </w:rPr>
        <w:t>See Andrew v. State</w:t>
      </w:r>
      <w:r w:rsidRPr="001C7788">
        <w:rPr>
          <w:rFonts w:ascii="Bookman Old Style" w:hAnsi="Bookman Old Style"/>
          <w:color w:val="000000"/>
          <w:sz w:val="26"/>
        </w:rPr>
        <w:t>, 653 P.2d 1063 (Alaska App. 1982), for a discussion of the standard of "reckless disregard."</w:t>
      </w:r>
      <w:r w:rsidR="00F3304A">
        <w:rPr>
          <w:rFonts w:ascii="Bookman Old Style" w:hAnsi="Bookman Old Style"/>
          <w:color w:val="000000"/>
          <w:sz w:val="26"/>
        </w:rPr>
        <w:t xml:space="preserve">  </w:t>
      </w:r>
    </w:p>
    <w:p w14:paraId="535782E4" w14:textId="77777777" w:rsidR="00A674C0" w:rsidRPr="001C7788" w:rsidRDefault="00A674C0" w:rsidP="00A674C0">
      <w:pPr>
        <w:tabs>
          <w:tab w:val="right" w:pos="8910"/>
        </w:tabs>
        <w:jc w:val="both"/>
        <w:rPr>
          <w:rFonts w:ascii="Bookman Old Style" w:hAnsi="Bookman Old Style"/>
          <w:color w:val="000000"/>
          <w:sz w:val="26"/>
        </w:rPr>
      </w:pPr>
    </w:p>
    <w:p w14:paraId="5F454290" w14:textId="26246D4A" w:rsidR="00A674C0" w:rsidRPr="001C7788" w:rsidRDefault="00A674C0" w:rsidP="00A674C0">
      <w:pPr>
        <w:tabs>
          <w:tab w:val="right" w:pos="8910"/>
        </w:tabs>
        <w:jc w:val="both"/>
        <w:rPr>
          <w:rFonts w:ascii="Bookman Old Style" w:hAnsi="Bookman Old Style"/>
          <w:color w:val="000000"/>
          <w:sz w:val="26"/>
        </w:rPr>
      </w:pPr>
      <w:r w:rsidRPr="001C7788">
        <w:rPr>
          <w:rFonts w:ascii="Bookman Old Style" w:hAnsi="Bookman Old Style"/>
          <w:color w:val="000000"/>
          <w:sz w:val="26"/>
        </w:rPr>
        <w:t>A</w:t>
      </w:r>
      <w:r>
        <w:rPr>
          <w:rFonts w:ascii="Bookman Old Style" w:hAnsi="Bookman Old Style"/>
          <w:color w:val="000000"/>
          <w:sz w:val="26"/>
        </w:rPr>
        <w:t>laska Statute</w:t>
      </w:r>
      <w:r w:rsidRPr="001C7788">
        <w:rPr>
          <w:rFonts w:ascii="Bookman Old Style" w:hAnsi="Bookman Old Style"/>
          <w:color w:val="000000"/>
          <w:sz w:val="26"/>
        </w:rPr>
        <w:t xml:space="preserve"> 11.46.295</w:t>
      </w:r>
      <w:r w:rsidR="0018568F">
        <w:rPr>
          <w:rFonts w:ascii="Bookman Old Style" w:hAnsi="Bookman Old Style"/>
          <w:color w:val="000000"/>
          <w:sz w:val="26"/>
        </w:rPr>
        <w:t>(1)</w:t>
      </w:r>
      <w:r w:rsidRPr="001C7788">
        <w:rPr>
          <w:rFonts w:ascii="Bookman Old Style" w:hAnsi="Bookman Old Style"/>
          <w:color w:val="000000"/>
          <w:sz w:val="26"/>
        </w:rPr>
        <w:t xml:space="preserve"> provides that for purposes of considering prior convictions in prosecuting certain subsections of the theft or concealment of merchandise statutes, "a conviction for an offense under </w:t>
      </w:r>
      <w:r w:rsidR="0018568F">
        <w:rPr>
          <w:rFonts w:ascii="Bookman Old Style" w:hAnsi="Bookman Old Style"/>
          <w:color w:val="000000"/>
          <w:sz w:val="26"/>
        </w:rPr>
        <w:t xml:space="preserve">another </w:t>
      </w:r>
      <w:r w:rsidRPr="001C7788">
        <w:rPr>
          <w:rFonts w:ascii="Bookman Old Style" w:hAnsi="Bookman Old Style"/>
          <w:color w:val="000000"/>
          <w:sz w:val="26"/>
        </w:rPr>
        <w:t>law or ordinance with similar elements is a conviction of an offense having elements similar to those of an offense defined as such under Alaska law at the time the offense was committed</w:t>
      </w:r>
      <w:r w:rsidR="00961477">
        <w:rPr>
          <w:rFonts w:ascii="Bookman Old Style" w:hAnsi="Bookman Old Style"/>
          <w:color w:val="000000"/>
          <w:sz w:val="26"/>
        </w:rPr>
        <w:t>[.]”</w:t>
      </w:r>
    </w:p>
    <w:p w14:paraId="7F177111" w14:textId="77777777" w:rsidR="00A674C0" w:rsidRPr="001C7788" w:rsidRDefault="00A674C0" w:rsidP="00A674C0">
      <w:pPr>
        <w:tabs>
          <w:tab w:val="right" w:pos="8910"/>
        </w:tabs>
        <w:jc w:val="both"/>
        <w:rPr>
          <w:rFonts w:ascii="Bookman Old Style" w:hAnsi="Bookman Old Style"/>
          <w:color w:val="000000"/>
          <w:sz w:val="26"/>
        </w:rPr>
      </w:pPr>
    </w:p>
    <w:p w14:paraId="41598273" w14:textId="77777777" w:rsidR="00A674C0" w:rsidRPr="001C7788" w:rsidRDefault="00A674C0" w:rsidP="00A674C0">
      <w:pPr>
        <w:tabs>
          <w:tab w:val="right" w:pos="8910"/>
        </w:tabs>
        <w:jc w:val="both"/>
        <w:rPr>
          <w:rFonts w:ascii="Bookman Old Style" w:hAnsi="Bookman Old Style"/>
          <w:color w:val="000000"/>
          <w:sz w:val="26"/>
        </w:rPr>
      </w:pPr>
      <w:r w:rsidRPr="001C7788">
        <w:rPr>
          <w:rFonts w:ascii="Bookman Old Style" w:hAnsi="Bookman Old Style"/>
          <w:color w:val="000000"/>
          <w:sz w:val="26"/>
        </w:rPr>
        <w:t xml:space="preserve">Unless the parties stipulate to prior convictions, the state must prove them as essential elements to the jury.  </w:t>
      </w:r>
      <w:r w:rsidRPr="00A200C4">
        <w:rPr>
          <w:rFonts w:ascii="Bookman Old Style" w:hAnsi="Bookman Old Style"/>
          <w:i/>
          <w:iCs/>
          <w:color w:val="000000"/>
          <w:sz w:val="26"/>
        </w:rPr>
        <w:t>See Morgan v. State</w:t>
      </w:r>
      <w:r w:rsidRPr="001C7788">
        <w:rPr>
          <w:rFonts w:ascii="Bookman Old Style" w:hAnsi="Bookman Old Style"/>
          <w:color w:val="000000"/>
          <w:sz w:val="26"/>
        </w:rPr>
        <w:t>, 661 P.2d 1102 (</w:t>
      </w:r>
      <w:smartTag w:uri="urn:schemas-microsoft-com:office:smarttags" w:element="State">
        <w:r w:rsidRPr="001C7788">
          <w:rPr>
            <w:rFonts w:ascii="Bookman Old Style" w:hAnsi="Bookman Old Style"/>
            <w:color w:val="000000"/>
            <w:sz w:val="26"/>
          </w:rPr>
          <w:t>Alaska</w:t>
        </w:r>
      </w:smartTag>
      <w:r w:rsidRPr="001C7788">
        <w:rPr>
          <w:rFonts w:ascii="Bookman Old Style" w:hAnsi="Bookman Old Style"/>
          <w:color w:val="000000"/>
          <w:sz w:val="26"/>
        </w:rPr>
        <w:t xml:space="preserve"> App. 1983); </w:t>
      </w:r>
      <w:r w:rsidRPr="00A200C4">
        <w:rPr>
          <w:rFonts w:ascii="Bookman Old Style" w:hAnsi="Bookman Old Style"/>
          <w:i/>
          <w:iCs/>
          <w:color w:val="000000"/>
          <w:sz w:val="26"/>
        </w:rPr>
        <w:t>Wortham v. State</w:t>
      </w:r>
      <w:r w:rsidRPr="001C7788">
        <w:rPr>
          <w:rFonts w:ascii="Bookman Old Style" w:hAnsi="Bookman Old Style"/>
          <w:color w:val="000000"/>
          <w:sz w:val="26"/>
        </w:rPr>
        <w:t>, 689 P.2d 1133 (</w:t>
      </w:r>
      <w:smartTag w:uri="urn:schemas-microsoft-com:office:smarttags" w:element="State">
        <w:r w:rsidRPr="001C7788">
          <w:rPr>
            <w:rFonts w:ascii="Bookman Old Style" w:hAnsi="Bookman Old Style"/>
            <w:color w:val="000000"/>
            <w:sz w:val="26"/>
          </w:rPr>
          <w:t>Alaska</w:t>
        </w:r>
      </w:smartTag>
      <w:r w:rsidRPr="001C7788">
        <w:rPr>
          <w:rFonts w:ascii="Bookman Old Style" w:hAnsi="Bookman Old Style"/>
          <w:color w:val="000000"/>
          <w:sz w:val="26"/>
        </w:rPr>
        <w:t xml:space="preserve"> App. 1984); and </w:t>
      </w:r>
      <w:proofErr w:type="spellStart"/>
      <w:r w:rsidRPr="00A200C4">
        <w:rPr>
          <w:rFonts w:ascii="Bookman Old Style" w:hAnsi="Bookman Old Style"/>
          <w:i/>
          <w:iCs/>
          <w:color w:val="000000"/>
          <w:sz w:val="26"/>
        </w:rPr>
        <w:t>Azzarella</w:t>
      </w:r>
      <w:proofErr w:type="spellEnd"/>
      <w:r w:rsidRPr="00A200C4">
        <w:rPr>
          <w:rFonts w:ascii="Bookman Old Style" w:hAnsi="Bookman Old Style"/>
          <w:i/>
          <w:iCs/>
          <w:color w:val="000000"/>
          <w:sz w:val="26"/>
        </w:rPr>
        <w:t xml:space="preserve"> v. State</w:t>
      </w:r>
      <w:r w:rsidRPr="001C7788">
        <w:rPr>
          <w:rFonts w:ascii="Bookman Old Style" w:hAnsi="Bookman Old Style"/>
          <w:color w:val="000000"/>
          <w:sz w:val="26"/>
        </w:rPr>
        <w:t>, 703 P.2d 1182 (</w:t>
      </w:r>
      <w:smartTag w:uri="urn:schemas-microsoft-com:office:smarttags" w:element="State">
        <w:smartTag w:uri="urn:schemas-microsoft-com:office:smarttags" w:element="place">
          <w:r w:rsidRPr="001C7788">
            <w:rPr>
              <w:rFonts w:ascii="Bookman Old Style" w:hAnsi="Bookman Old Style"/>
              <w:color w:val="000000"/>
              <w:sz w:val="26"/>
            </w:rPr>
            <w:t>Alaska</w:t>
          </w:r>
        </w:smartTag>
      </w:smartTag>
      <w:r w:rsidRPr="001C7788">
        <w:rPr>
          <w:rFonts w:ascii="Bookman Old Style" w:hAnsi="Bookman Old Style"/>
          <w:color w:val="000000"/>
          <w:sz w:val="26"/>
        </w:rPr>
        <w:t xml:space="preserve"> App. 1985).</w:t>
      </w:r>
    </w:p>
    <w:p w14:paraId="21EE5790" w14:textId="77777777" w:rsidR="00A674C0" w:rsidRPr="001C7788" w:rsidRDefault="00A674C0" w:rsidP="00A674C0">
      <w:pPr>
        <w:tabs>
          <w:tab w:val="right" w:pos="8910"/>
        </w:tabs>
        <w:jc w:val="both"/>
        <w:rPr>
          <w:rFonts w:ascii="Bookman Old Style" w:hAnsi="Bookman Old Style"/>
          <w:color w:val="000000"/>
          <w:sz w:val="26"/>
        </w:rPr>
      </w:pPr>
    </w:p>
    <w:p w14:paraId="4FA1E45C" w14:textId="77777777" w:rsidR="00A674C0" w:rsidRDefault="00A674C0" w:rsidP="00A674C0">
      <w:pPr>
        <w:tabs>
          <w:tab w:val="right" w:pos="8910"/>
        </w:tabs>
        <w:jc w:val="both"/>
        <w:rPr>
          <w:rFonts w:ascii="Bookman Old Style" w:hAnsi="Bookman Old Style"/>
          <w:sz w:val="26"/>
        </w:rPr>
      </w:pPr>
      <w:r w:rsidRPr="001C7788">
        <w:rPr>
          <w:rFonts w:ascii="Bookman Old Style" w:hAnsi="Bookman Old Style"/>
          <w:sz w:val="26"/>
        </w:rPr>
        <w:t xml:space="preserve">Bifurcation of the trial to separate issues regarding prior convictions is required unless the trial judge determines that evidence concerning the prior convictions is otherwise relevant and satisfies Evidence Rule 403.  </w:t>
      </w:r>
      <w:proofErr w:type="spellStart"/>
      <w:r w:rsidRPr="00A200C4">
        <w:rPr>
          <w:rFonts w:ascii="Bookman Old Style" w:hAnsi="Bookman Old Style"/>
          <w:i/>
          <w:iCs/>
          <w:sz w:val="26"/>
        </w:rPr>
        <w:t>Ostlund</w:t>
      </w:r>
      <w:proofErr w:type="spellEnd"/>
      <w:r w:rsidRPr="00A200C4">
        <w:rPr>
          <w:rFonts w:ascii="Bookman Old Style" w:hAnsi="Bookman Old Style"/>
          <w:i/>
          <w:iCs/>
          <w:sz w:val="26"/>
        </w:rPr>
        <w:t xml:space="preserve"> v. State</w:t>
      </w:r>
      <w:r w:rsidRPr="001C7788">
        <w:rPr>
          <w:rFonts w:ascii="Bookman Old Style" w:hAnsi="Bookman Old Style"/>
          <w:sz w:val="26"/>
        </w:rPr>
        <w:t>, 51 P.3d 938 (Alaska App. 2002).</w:t>
      </w:r>
    </w:p>
    <w:p w14:paraId="10C28E58" w14:textId="77777777" w:rsidR="000C3614" w:rsidRDefault="000C3614" w:rsidP="00A674C0">
      <w:pPr>
        <w:tabs>
          <w:tab w:val="right" w:pos="8910"/>
        </w:tabs>
        <w:jc w:val="both"/>
        <w:rPr>
          <w:rFonts w:ascii="Bookman Old Style" w:hAnsi="Bookman Old Style"/>
          <w:sz w:val="26"/>
        </w:rPr>
      </w:pPr>
    </w:p>
    <w:p w14:paraId="12DB6F2F" w14:textId="77777777" w:rsidR="006E7BE7" w:rsidRPr="00BD2F98" w:rsidRDefault="000C3614" w:rsidP="00BD2F98">
      <w:pPr>
        <w:tabs>
          <w:tab w:val="right" w:pos="8910"/>
        </w:tabs>
        <w:jc w:val="both"/>
        <w:rPr>
          <w:rFonts w:ascii="Bookman Old Style" w:hAnsi="Bookman Old Style"/>
          <w:sz w:val="26"/>
        </w:rPr>
      </w:pPr>
      <w:r w:rsidRPr="002250F2">
        <w:rPr>
          <w:rFonts w:ascii="Bookman Old Style" w:hAnsi="Bookman Old Style"/>
          <w:sz w:val="26"/>
        </w:rPr>
        <w:t>Theft i</w:t>
      </w:r>
      <w:r>
        <w:rPr>
          <w:rFonts w:ascii="Bookman Old Style" w:hAnsi="Bookman Old Style"/>
          <w:sz w:val="26"/>
        </w:rPr>
        <w:t>n the Third</w:t>
      </w:r>
      <w:r w:rsidRPr="002250F2">
        <w:rPr>
          <w:rFonts w:ascii="Bookman Old Style" w:hAnsi="Bookman Old Style"/>
          <w:sz w:val="26"/>
        </w:rPr>
        <w:t xml:space="preserve"> Degree is defined as theft of</w:t>
      </w:r>
      <w:r>
        <w:rPr>
          <w:rFonts w:ascii="Bookman Old Style" w:hAnsi="Bookman Old Style"/>
          <w:sz w:val="26"/>
        </w:rPr>
        <w:t xml:space="preserve"> property worth less than $7</w:t>
      </w:r>
      <w:r w:rsidRPr="002250F2">
        <w:rPr>
          <w:rFonts w:ascii="Bookman Old Style" w:hAnsi="Bookman Old Style"/>
          <w:sz w:val="26"/>
        </w:rPr>
        <w:t>50</w:t>
      </w:r>
      <w:r>
        <w:rPr>
          <w:rFonts w:ascii="Bookman Old Style" w:hAnsi="Bookman Old Style"/>
          <w:sz w:val="26"/>
        </w:rPr>
        <w:t xml:space="preserve"> but more than $250 (except for recidivists)</w:t>
      </w:r>
      <w:r w:rsidRPr="002250F2">
        <w:rPr>
          <w:rFonts w:ascii="Bookman Old Style" w:hAnsi="Bookman Old Style"/>
          <w:sz w:val="26"/>
        </w:rPr>
        <w:t>; however, any value</w:t>
      </w:r>
      <w:r>
        <w:rPr>
          <w:rFonts w:ascii="Bookman Old Style" w:hAnsi="Bookman Old Style"/>
          <w:sz w:val="26"/>
        </w:rPr>
        <w:t xml:space="preserve"> over $250</w:t>
      </w:r>
      <w:r w:rsidRPr="002250F2">
        <w:rPr>
          <w:rFonts w:ascii="Bookman Old Style" w:hAnsi="Bookman Old Style"/>
          <w:sz w:val="26"/>
        </w:rPr>
        <w:t xml:space="preserve"> will suffice.</w:t>
      </w:r>
      <w:r>
        <w:rPr>
          <w:rFonts w:ascii="Bookman Old Style" w:hAnsi="Bookman Old Style"/>
          <w:sz w:val="26"/>
        </w:rPr>
        <w:t xml:space="preserve">  (For recidivists, any value will suffice.)</w:t>
      </w:r>
      <w:r w:rsidRPr="002250F2">
        <w:rPr>
          <w:rFonts w:ascii="Bookman Old Style" w:hAnsi="Bookman Old Style"/>
          <w:sz w:val="26"/>
        </w:rPr>
        <w:t xml:space="preserve">  </w:t>
      </w:r>
      <w:r w:rsidRPr="00300FB9">
        <w:rPr>
          <w:rFonts w:ascii="Bookman Old Style" w:hAnsi="Bookman Old Style"/>
          <w:i/>
          <w:sz w:val="26"/>
        </w:rPr>
        <w:t>See</w:t>
      </w:r>
      <w:r w:rsidRPr="002250F2">
        <w:rPr>
          <w:rFonts w:ascii="Bookman Old Style" w:hAnsi="Bookman Old Style"/>
          <w:sz w:val="26"/>
        </w:rPr>
        <w:t xml:space="preserve"> AS 11.81.615.</w:t>
      </w:r>
    </w:p>
    <w:sectPr w:rsidR="006E7BE7" w:rsidRPr="00BD2F98" w:rsidSect="00A200C4">
      <w:headerReference w:type="default" r:id="rId6"/>
      <w:headerReference w:type="first" r:id="rId7"/>
      <w:pgSz w:w="12240" w:h="15840" w:code="1"/>
      <w:pgMar w:top="2880" w:right="1350" w:bottom="1440" w:left="1440" w:header="720" w:footer="720" w:gutter="432"/>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749F2" w14:textId="77777777" w:rsidR="00FF7E37" w:rsidRDefault="00FF7E37">
      <w:r>
        <w:separator/>
      </w:r>
    </w:p>
  </w:endnote>
  <w:endnote w:type="continuationSeparator" w:id="0">
    <w:p w14:paraId="524E3E95" w14:textId="77777777" w:rsidR="00FF7E37" w:rsidRDefault="00FF7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3C752" w14:textId="77777777" w:rsidR="00FF7E37" w:rsidRDefault="00FF7E37">
      <w:r>
        <w:separator/>
      </w:r>
    </w:p>
  </w:footnote>
  <w:footnote w:type="continuationSeparator" w:id="0">
    <w:p w14:paraId="5F78D589" w14:textId="77777777" w:rsidR="00FF7E37" w:rsidRDefault="00FF7E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C4EDB" w14:textId="77777777" w:rsidR="004B0F1A" w:rsidRDefault="00A674C0">
    <w:pPr>
      <w:pStyle w:val="Header"/>
      <w:tabs>
        <w:tab w:val="clear" w:pos="4320"/>
        <w:tab w:val="clear" w:pos="8640"/>
        <w:tab w:val="right" w:pos="8910"/>
      </w:tabs>
      <w:jc w:val="both"/>
      <w:rPr>
        <w:rFonts w:ascii="Bookman Old Style" w:hAnsi="Bookman Old Style"/>
        <w:b/>
        <w:sz w:val="24"/>
      </w:rPr>
    </w:pPr>
    <w:r>
      <w:rPr>
        <w:rFonts w:ascii="Bookman Old Style" w:hAnsi="Bookman Old Style"/>
        <w:b/>
        <w:sz w:val="24"/>
      </w:rPr>
      <w:t>THEFT BY RECEIVING</w:t>
    </w:r>
    <w:r w:rsidR="00300FB9">
      <w:rPr>
        <w:rFonts w:ascii="Bookman Old Style" w:hAnsi="Bookman Old Style"/>
        <w:b/>
        <w:sz w:val="24"/>
      </w:rPr>
      <w:t xml:space="preserve"> </w:t>
    </w:r>
    <w:r>
      <w:rPr>
        <w:rFonts w:ascii="Bookman Old Style" w:hAnsi="Bookman Old Style"/>
        <w:b/>
        <w:sz w:val="24"/>
      </w:rPr>
      <w:t>—</w:t>
    </w:r>
    <w:r w:rsidR="00300FB9">
      <w:rPr>
        <w:rFonts w:ascii="Bookman Old Style" w:hAnsi="Bookman Old Style"/>
        <w:b/>
        <w:sz w:val="24"/>
      </w:rPr>
      <w:t xml:space="preserve"> </w:t>
    </w:r>
    <w:r>
      <w:rPr>
        <w:rFonts w:ascii="Bookman Old Style" w:hAnsi="Bookman Old Style"/>
        <w:b/>
        <w:sz w:val="24"/>
      </w:rPr>
      <w:t>THIRD DEGREE</w:t>
    </w:r>
    <w:r>
      <w:rPr>
        <w:rFonts w:ascii="Bookman Old Style" w:hAnsi="Bookman Old Style"/>
        <w:b/>
        <w:sz w:val="24"/>
      </w:rPr>
      <w:tab/>
      <w:t>11.46.190 #</w:t>
    </w:r>
    <w:r w:rsidR="00F3304A">
      <w:rPr>
        <w:rFonts w:ascii="Bookman Old Style" w:hAnsi="Bookman Old Style"/>
        <w:b/>
        <w:sz w:val="24"/>
      </w:rPr>
      <w:t>3</w:t>
    </w:r>
  </w:p>
  <w:p w14:paraId="2FA9E91F" w14:textId="5BB5A011" w:rsidR="004B0F1A" w:rsidRDefault="00F3304A">
    <w:pPr>
      <w:pStyle w:val="Header"/>
      <w:tabs>
        <w:tab w:val="clear" w:pos="4320"/>
        <w:tab w:val="clear" w:pos="8640"/>
        <w:tab w:val="right" w:pos="8910"/>
      </w:tabs>
      <w:jc w:val="both"/>
      <w:rPr>
        <w:rFonts w:ascii="Bookman Old Style" w:hAnsi="Bookman Old Style"/>
        <w:b/>
        <w:sz w:val="24"/>
      </w:rPr>
    </w:pPr>
    <w:r>
      <w:rPr>
        <w:rFonts w:ascii="Bookman Old Style" w:hAnsi="Bookman Old Style"/>
        <w:b/>
        <w:sz w:val="24"/>
      </w:rPr>
      <w:t>Revised 202</w:t>
    </w:r>
    <w:r w:rsidR="00050829">
      <w:rPr>
        <w:rFonts w:ascii="Bookman Old Style" w:hAnsi="Bookman Old Style"/>
        <w:b/>
        <w:sz w:val="24"/>
      </w:rPr>
      <w:t>4</w:t>
    </w:r>
  </w:p>
  <w:p w14:paraId="246121A1" w14:textId="77777777" w:rsidR="004B0F1A" w:rsidRDefault="00A674C0">
    <w:pPr>
      <w:pStyle w:val="Header"/>
      <w:tabs>
        <w:tab w:val="clear" w:pos="4320"/>
        <w:tab w:val="clear" w:pos="8640"/>
        <w:tab w:val="right" w:pos="9270"/>
      </w:tabs>
      <w:jc w:val="both"/>
      <w:rPr>
        <w:rFonts w:ascii="Bookman Old Style" w:hAnsi="Bookman Old Style"/>
        <w:b/>
        <w:sz w:val="24"/>
      </w:rPr>
    </w:pPr>
    <w:r>
      <w:rPr>
        <w:rFonts w:ascii="Bookman Old Style" w:hAnsi="Bookman Old Style"/>
        <w:b/>
        <w:snapToGrid w:val="0"/>
        <w:sz w:val="24"/>
      </w:rPr>
      <w:t xml:space="preserve">Page </w:t>
    </w:r>
    <w:r>
      <w:rPr>
        <w:rFonts w:ascii="Bookman Old Style" w:hAnsi="Bookman Old Style"/>
        <w:b/>
        <w:snapToGrid w:val="0"/>
        <w:sz w:val="24"/>
      </w:rPr>
      <w:fldChar w:fldCharType="begin"/>
    </w:r>
    <w:r>
      <w:rPr>
        <w:rFonts w:ascii="Bookman Old Style" w:hAnsi="Bookman Old Style"/>
        <w:b/>
        <w:snapToGrid w:val="0"/>
        <w:sz w:val="24"/>
      </w:rPr>
      <w:instrText xml:space="preserve"> PAGE </w:instrText>
    </w:r>
    <w:r>
      <w:rPr>
        <w:rFonts w:ascii="Bookman Old Style" w:hAnsi="Bookman Old Style"/>
        <w:b/>
        <w:snapToGrid w:val="0"/>
        <w:sz w:val="24"/>
      </w:rPr>
      <w:fldChar w:fldCharType="separate"/>
    </w:r>
    <w:r w:rsidR="00BD2F98">
      <w:rPr>
        <w:rFonts w:ascii="Bookman Old Style" w:hAnsi="Bookman Old Style"/>
        <w:b/>
        <w:noProof/>
        <w:snapToGrid w:val="0"/>
        <w:sz w:val="24"/>
      </w:rPr>
      <w:t>1</w:t>
    </w:r>
    <w:r>
      <w:rPr>
        <w:rFonts w:ascii="Bookman Old Style" w:hAnsi="Bookman Old Style"/>
        <w:b/>
        <w:snapToGrid w:val="0"/>
        <w:sz w:val="24"/>
      </w:rPr>
      <w:fldChar w:fldCharType="end"/>
    </w:r>
    <w:r>
      <w:rPr>
        <w:rFonts w:ascii="Bookman Old Style" w:hAnsi="Bookman Old Style"/>
        <w:b/>
        <w:snapToGrid w:val="0"/>
        <w:sz w:val="24"/>
      </w:rPr>
      <w:t xml:space="preserve"> of </w:t>
    </w:r>
    <w:r>
      <w:rPr>
        <w:rFonts w:ascii="Bookman Old Style" w:hAnsi="Bookman Old Style"/>
        <w:b/>
        <w:snapToGrid w:val="0"/>
        <w:sz w:val="24"/>
      </w:rPr>
      <w:fldChar w:fldCharType="begin"/>
    </w:r>
    <w:r>
      <w:rPr>
        <w:rFonts w:ascii="Bookman Old Style" w:hAnsi="Bookman Old Style"/>
        <w:b/>
        <w:snapToGrid w:val="0"/>
        <w:sz w:val="24"/>
      </w:rPr>
      <w:instrText xml:space="preserve"> NUMPAGES </w:instrText>
    </w:r>
    <w:r>
      <w:rPr>
        <w:rFonts w:ascii="Bookman Old Style" w:hAnsi="Bookman Old Style"/>
        <w:b/>
        <w:snapToGrid w:val="0"/>
        <w:sz w:val="24"/>
      </w:rPr>
      <w:fldChar w:fldCharType="separate"/>
    </w:r>
    <w:r w:rsidR="00BD2F98">
      <w:rPr>
        <w:rFonts w:ascii="Bookman Old Style" w:hAnsi="Bookman Old Style"/>
        <w:b/>
        <w:noProof/>
        <w:snapToGrid w:val="0"/>
        <w:sz w:val="24"/>
      </w:rPr>
      <w:t>2</w:t>
    </w:r>
    <w:r>
      <w:rPr>
        <w:rFonts w:ascii="Bookman Old Style" w:hAnsi="Bookman Old Style"/>
        <w:b/>
        <w:snapToGrid w:val="0"/>
        <w:sz w:val="24"/>
      </w:rPr>
      <w:fldChar w:fldCharType="end"/>
    </w:r>
  </w:p>
  <w:p w14:paraId="3D53EF63" w14:textId="77777777" w:rsidR="004B0F1A" w:rsidRDefault="00A674C0">
    <w:pPr>
      <w:pStyle w:val="Header"/>
      <w:tabs>
        <w:tab w:val="clear" w:pos="4320"/>
        <w:tab w:val="clear" w:pos="8640"/>
        <w:tab w:val="right" w:pos="9270"/>
      </w:tabs>
      <w:jc w:val="both"/>
      <w:rPr>
        <w:rFonts w:ascii="Courier New" w:hAnsi="Courier New"/>
        <w:sz w:val="24"/>
      </w:rPr>
    </w:pPr>
    <w:r>
      <w:rPr>
        <w:rFonts w:ascii="Bookman Old Style" w:hAnsi="Bookman Old Style"/>
        <w:b/>
        <w:noProof/>
        <w:snapToGrid w:val="0"/>
        <w:sz w:val="26"/>
      </w:rPr>
      <mc:AlternateContent>
        <mc:Choice Requires="wps">
          <w:drawing>
            <wp:anchor distT="0" distB="0" distL="114300" distR="114300" simplePos="0" relativeHeight="251659264" behindDoc="0" locked="0" layoutInCell="0" allowOverlap="1" wp14:anchorId="427FA96E" wp14:editId="3693B2DC">
              <wp:simplePos x="0" y="0"/>
              <wp:positionH relativeFrom="column">
                <wp:posOffset>0</wp:posOffset>
              </wp:positionH>
              <wp:positionV relativeFrom="paragraph">
                <wp:posOffset>92710</wp:posOffset>
              </wp:positionV>
              <wp:extent cx="5669280" cy="508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280" cy="50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0E73303A"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3pt" to="446.4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" o:allowincell="f"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EE96A" w14:textId="77777777" w:rsidR="004B0F1A" w:rsidRDefault="00A674C0">
    <w:pPr>
      <w:tabs>
        <w:tab w:val="right" w:pos="8910"/>
      </w:tabs>
      <w:rPr>
        <w:rFonts w:ascii="Courier New" w:hAnsi="Courier New"/>
        <w:sz w:val="24"/>
      </w:rPr>
    </w:pPr>
    <w:r>
      <w:rPr>
        <w:rFonts w:ascii="Courier New" w:hAnsi="Courier New"/>
        <w:sz w:val="24"/>
      </w:rPr>
      <w:t>81.430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4C0"/>
    <w:rsid w:val="00050829"/>
    <w:rsid w:val="000C3614"/>
    <w:rsid w:val="0018568F"/>
    <w:rsid w:val="001D467F"/>
    <w:rsid w:val="00300FB9"/>
    <w:rsid w:val="003278B6"/>
    <w:rsid w:val="00330116"/>
    <w:rsid w:val="00396F18"/>
    <w:rsid w:val="00417F3A"/>
    <w:rsid w:val="004B0F1A"/>
    <w:rsid w:val="00595ADA"/>
    <w:rsid w:val="006E7BE7"/>
    <w:rsid w:val="008A4AE8"/>
    <w:rsid w:val="008E0870"/>
    <w:rsid w:val="00961477"/>
    <w:rsid w:val="00A0224A"/>
    <w:rsid w:val="00A200C4"/>
    <w:rsid w:val="00A674C0"/>
    <w:rsid w:val="00BD2F98"/>
    <w:rsid w:val="00C07FBB"/>
    <w:rsid w:val="00C50076"/>
    <w:rsid w:val="00D40672"/>
    <w:rsid w:val="00D976DC"/>
    <w:rsid w:val="00DD0D03"/>
    <w:rsid w:val="00E83A6F"/>
    <w:rsid w:val="00E916C0"/>
    <w:rsid w:val="00EF08BD"/>
    <w:rsid w:val="00F3304A"/>
    <w:rsid w:val="00FF7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7786B86B"/>
  <w15:docId w15:val="{96455789-F101-4B90-A925-0CB8CCD32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napToGrid w:val="0"/>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4C0"/>
    <w:rPr>
      <w:rFonts w:eastAsia="Times New Roman"/>
      <w:snapToGrid/>
    </w:rPr>
  </w:style>
  <w:style w:type="paragraph" w:styleId="Heading1">
    <w:name w:val="heading 1"/>
    <w:basedOn w:val="Normal"/>
    <w:next w:val="Normal"/>
    <w:link w:val="Heading1Char"/>
    <w:qFormat/>
    <w:rsid w:val="00A674C0"/>
    <w:pPr>
      <w:keepNext/>
      <w:spacing w:before="120" w:after="120"/>
      <w:ind w:right="18"/>
      <w:jc w:val="center"/>
      <w:outlineLvl w:val="0"/>
    </w:pPr>
    <w:rPr>
      <w:rFonts w:ascii="Bookman Old Style" w:hAnsi="Bookman Old Style"/>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74C0"/>
    <w:rPr>
      <w:rFonts w:ascii="Bookman Old Style" w:eastAsia="Times New Roman" w:hAnsi="Bookman Old Style"/>
      <w:b/>
      <w:snapToGrid/>
      <w:sz w:val="26"/>
    </w:rPr>
  </w:style>
  <w:style w:type="paragraph" w:styleId="Header">
    <w:name w:val="header"/>
    <w:basedOn w:val="Normal"/>
    <w:link w:val="HeaderChar"/>
    <w:rsid w:val="00A674C0"/>
    <w:pPr>
      <w:tabs>
        <w:tab w:val="center" w:pos="4320"/>
        <w:tab w:val="right" w:pos="8640"/>
      </w:tabs>
    </w:pPr>
  </w:style>
  <w:style w:type="character" w:customStyle="1" w:styleId="HeaderChar">
    <w:name w:val="Header Char"/>
    <w:basedOn w:val="DefaultParagraphFont"/>
    <w:link w:val="Header"/>
    <w:rsid w:val="00A674C0"/>
    <w:rPr>
      <w:rFonts w:eastAsia="Times New Roman"/>
      <w:snapToGrid/>
    </w:rPr>
  </w:style>
  <w:style w:type="paragraph" w:styleId="BodyTextIndent">
    <w:name w:val="Body Text Indent"/>
    <w:basedOn w:val="Normal"/>
    <w:link w:val="BodyTextIndentChar"/>
    <w:rsid w:val="00A674C0"/>
    <w:pPr>
      <w:spacing w:before="120" w:line="360" w:lineRule="auto"/>
      <w:ind w:right="18" w:firstLine="720"/>
      <w:jc w:val="both"/>
    </w:pPr>
    <w:rPr>
      <w:rFonts w:ascii="Bookman Old Style" w:hAnsi="Bookman Old Style"/>
      <w:sz w:val="26"/>
    </w:rPr>
  </w:style>
  <w:style w:type="character" w:customStyle="1" w:styleId="BodyTextIndentChar">
    <w:name w:val="Body Text Indent Char"/>
    <w:basedOn w:val="DefaultParagraphFont"/>
    <w:link w:val="BodyTextIndent"/>
    <w:rsid w:val="00A674C0"/>
    <w:rPr>
      <w:rFonts w:ascii="Bookman Old Style" w:eastAsia="Times New Roman" w:hAnsi="Bookman Old Style"/>
      <w:snapToGrid/>
      <w:sz w:val="26"/>
    </w:rPr>
  </w:style>
  <w:style w:type="paragraph" w:styleId="BodyTextIndent2">
    <w:name w:val="Body Text Indent 2"/>
    <w:basedOn w:val="Normal"/>
    <w:link w:val="BodyTextIndent2Char"/>
    <w:rsid w:val="00A674C0"/>
    <w:pPr>
      <w:spacing w:before="120" w:after="120" w:line="360" w:lineRule="auto"/>
      <w:ind w:left="720" w:hanging="720"/>
      <w:jc w:val="both"/>
    </w:pPr>
    <w:rPr>
      <w:rFonts w:ascii="Bookman Old Style" w:hAnsi="Bookman Old Style"/>
      <w:sz w:val="26"/>
    </w:rPr>
  </w:style>
  <w:style w:type="character" w:customStyle="1" w:styleId="BodyTextIndent2Char">
    <w:name w:val="Body Text Indent 2 Char"/>
    <w:basedOn w:val="DefaultParagraphFont"/>
    <w:link w:val="BodyTextIndent2"/>
    <w:rsid w:val="00A674C0"/>
    <w:rPr>
      <w:rFonts w:ascii="Bookman Old Style" w:eastAsia="Times New Roman" w:hAnsi="Bookman Old Style"/>
      <w:snapToGrid/>
      <w:sz w:val="26"/>
    </w:rPr>
  </w:style>
  <w:style w:type="paragraph" w:styleId="BalloonText">
    <w:name w:val="Balloon Text"/>
    <w:basedOn w:val="Normal"/>
    <w:link w:val="BalloonTextChar"/>
    <w:uiPriority w:val="99"/>
    <w:semiHidden/>
    <w:unhideWhenUsed/>
    <w:rsid w:val="00DD0D03"/>
    <w:rPr>
      <w:rFonts w:ascii="Tahoma" w:hAnsi="Tahoma" w:cs="Tahoma"/>
      <w:sz w:val="16"/>
      <w:szCs w:val="16"/>
    </w:rPr>
  </w:style>
  <w:style w:type="character" w:customStyle="1" w:styleId="BalloonTextChar">
    <w:name w:val="Balloon Text Char"/>
    <w:basedOn w:val="DefaultParagraphFont"/>
    <w:link w:val="BalloonText"/>
    <w:uiPriority w:val="99"/>
    <w:semiHidden/>
    <w:rsid w:val="00DD0D03"/>
    <w:rPr>
      <w:rFonts w:ascii="Tahoma" w:eastAsia="Times New Roman" w:hAnsi="Tahoma" w:cs="Tahoma"/>
      <w:snapToGrid/>
      <w:sz w:val="16"/>
      <w:szCs w:val="16"/>
    </w:rPr>
  </w:style>
  <w:style w:type="paragraph" w:styleId="Footer">
    <w:name w:val="footer"/>
    <w:basedOn w:val="Normal"/>
    <w:link w:val="FooterChar"/>
    <w:uiPriority w:val="99"/>
    <w:unhideWhenUsed/>
    <w:rsid w:val="00300FB9"/>
    <w:pPr>
      <w:tabs>
        <w:tab w:val="center" w:pos="4680"/>
        <w:tab w:val="right" w:pos="9360"/>
      </w:tabs>
    </w:pPr>
  </w:style>
  <w:style w:type="character" w:customStyle="1" w:styleId="FooterChar">
    <w:name w:val="Footer Char"/>
    <w:basedOn w:val="DefaultParagraphFont"/>
    <w:link w:val="Footer"/>
    <w:uiPriority w:val="99"/>
    <w:rsid w:val="00300FB9"/>
    <w:rPr>
      <w:rFonts w:eastAsia="Times New Roman"/>
      <w:snapToGrid/>
    </w:rPr>
  </w:style>
  <w:style w:type="paragraph" w:styleId="Revision">
    <w:name w:val="Revision"/>
    <w:hidden/>
    <w:uiPriority w:val="99"/>
    <w:semiHidden/>
    <w:rsid w:val="00050829"/>
    <w:rPr>
      <w:rFonts w:eastAsia="Times New Roman"/>
      <w:snapToGr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375</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Alaska Court System</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Hanley Robinson</cp:lastModifiedBy>
  <cp:revision>3</cp:revision>
  <dcterms:created xsi:type="dcterms:W3CDTF">2024-09-27T21:58:00Z</dcterms:created>
  <dcterms:modified xsi:type="dcterms:W3CDTF">2024-09-27T22:14:00Z</dcterms:modified>
</cp:coreProperties>
</file>