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B3" w:rsidRPr="00DE52B0" w:rsidRDefault="00BA05B3" w:rsidP="00BA05B3">
      <w:pPr>
        <w:tabs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DE52B0">
        <w:rPr>
          <w:rFonts w:ascii="Bookman Old Style" w:hAnsi="Bookman Old Style"/>
          <w:b/>
          <w:sz w:val="24"/>
          <w:szCs w:val="24"/>
        </w:rPr>
        <w:t>CONCEALMENT OF MERCHANDISE</w:t>
      </w:r>
      <w:r w:rsidRPr="00DE52B0">
        <w:rPr>
          <w:rFonts w:ascii="Bookman Old Style" w:hAnsi="Bookman Old Style"/>
          <w:b/>
          <w:sz w:val="24"/>
          <w:szCs w:val="24"/>
        </w:rPr>
        <w:tab/>
        <w:t>11.46.220(c</w:t>
      </w:r>
      <w:proofErr w:type="gramStart"/>
      <w:r w:rsidRPr="00DE52B0">
        <w:rPr>
          <w:rFonts w:ascii="Bookman Old Style" w:hAnsi="Bookman Old Style"/>
          <w:b/>
          <w:sz w:val="24"/>
          <w:szCs w:val="24"/>
        </w:rPr>
        <w:t>)(</w:t>
      </w:r>
      <w:proofErr w:type="gramEnd"/>
      <w:r w:rsidRPr="00DE52B0">
        <w:rPr>
          <w:rFonts w:ascii="Bookman Old Style" w:hAnsi="Bookman Old Style"/>
          <w:b/>
          <w:sz w:val="24"/>
          <w:szCs w:val="24"/>
        </w:rPr>
        <w:t xml:space="preserve">2)(B) </w:t>
      </w:r>
    </w:p>
    <w:p w:rsidR="00BA05B3" w:rsidRPr="00DE52B0" w:rsidRDefault="00BA05B3" w:rsidP="00BA05B3">
      <w:pPr>
        <w:tabs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DE52B0">
        <w:rPr>
          <w:rFonts w:ascii="Bookman Old Style" w:hAnsi="Bookman Old Style"/>
          <w:b/>
          <w:sz w:val="24"/>
          <w:szCs w:val="24"/>
        </w:rPr>
        <w:t>(CLASS A MISDEMEANOR)</w:t>
      </w:r>
    </w:p>
    <w:p w:rsidR="00BA05B3" w:rsidRPr="00DE52B0" w:rsidRDefault="00DE52B0" w:rsidP="00BA05B3">
      <w:pPr>
        <w:tabs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Revised 2017</w:t>
      </w:r>
    </w:p>
    <w:p w:rsidR="00BA05B3" w:rsidRPr="00DE52B0" w:rsidRDefault="00BA05B3" w:rsidP="00BA05B3">
      <w:pPr>
        <w:tabs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DE52B0">
        <w:rPr>
          <w:rFonts w:ascii="Bookman Old Style" w:hAnsi="Bookman Old Style"/>
          <w:b/>
          <w:snapToGrid w:val="0"/>
          <w:sz w:val="24"/>
          <w:szCs w:val="24"/>
        </w:rPr>
        <w:t xml:space="preserve">Page </w:t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instrText xml:space="preserve"> PAGE </w:instrText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DE52B0">
        <w:rPr>
          <w:rFonts w:ascii="Bookman Old Style" w:hAnsi="Bookman Old Style"/>
          <w:b/>
          <w:noProof/>
          <w:snapToGrid w:val="0"/>
          <w:sz w:val="24"/>
          <w:szCs w:val="24"/>
        </w:rPr>
        <w:t>1</w:t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t xml:space="preserve"> of </w:t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instrText xml:space="preserve"> NUMPAGES </w:instrText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DE52B0">
        <w:rPr>
          <w:rFonts w:ascii="Bookman Old Style" w:hAnsi="Bookman Old Style"/>
          <w:b/>
          <w:noProof/>
          <w:snapToGrid w:val="0"/>
          <w:sz w:val="24"/>
          <w:szCs w:val="24"/>
        </w:rPr>
        <w:t>2</w:t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</w:p>
    <w:p w:rsidR="00BA05B3" w:rsidRPr="00E2302F" w:rsidRDefault="00BA05B3" w:rsidP="00BA05B3">
      <w:pPr>
        <w:tabs>
          <w:tab w:val="right" w:pos="927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napToGrid w:val="0"/>
        </w:rPr>
        <w:t>_________________________________________________________________________________________</w:t>
      </w:r>
    </w:p>
    <w:p w:rsidR="00BA05B3" w:rsidRDefault="00BA05B3" w:rsidP="00BA05B3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  <w:u w:val="single"/>
        </w:rPr>
      </w:pPr>
    </w:p>
    <w:p w:rsidR="00BA05B3" w:rsidRDefault="00BA05B3" w:rsidP="00BA05B3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concealment of merchandise.</w:t>
      </w:r>
    </w:p>
    <w:p w:rsidR="00BA05B3" w:rsidRDefault="00BA05B3" w:rsidP="00BA05B3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:rsidR="00BA05B3" w:rsidRPr="002F7E0E" w:rsidRDefault="00BA05B3" w:rsidP="00BA05B3">
      <w:pPr>
        <w:pStyle w:val="BodyTextIndent"/>
        <w:spacing w:after="120"/>
        <w:ind w:left="720" w:hanging="720"/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 knowingly concealed on or about</w:t>
      </w:r>
      <w:r w:rsidRPr="002F7E0E">
        <w:t xml:space="preserve"> </w:t>
      </w:r>
      <w:r>
        <w:rPr>
          <w:bCs/>
        </w:rPr>
        <w:t>the defendant’s</w:t>
      </w:r>
      <w:r w:rsidRPr="002F7E0E">
        <w:t xml:space="preserve"> person the merchandise of a commercial establishment;</w:t>
      </w:r>
    </w:p>
    <w:p w:rsidR="00BA05B3" w:rsidRPr="002F7E0E" w:rsidRDefault="00BA05B3" w:rsidP="00BA05B3">
      <w:pPr>
        <w:pStyle w:val="BodyTextIndent"/>
        <w:spacing w:after="120"/>
        <w:ind w:left="720" w:hanging="720"/>
      </w:pPr>
      <w:r w:rsidRPr="002F7E0E">
        <w:t>(2)</w:t>
      </w:r>
      <w:r w:rsidRPr="002F7E0E">
        <w:tab/>
      </w:r>
      <w:proofErr w:type="gramStart"/>
      <w:r w:rsidRPr="002F7E0E">
        <w:t>the</w:t>
      </w:r>
      <w:proofErr w:type="gramEnd"/>
      <w:r w:rsidRPr="002F7E0E">
        <w:t xml:space="preserve"> defendant had no authority to conceal the merchandise;</w:t>
      </w:r>
    </w:p>
    <w:p w:rsidR="00BA05B3" w:rsidRPr="002F7E0E" w:rsidRDefault="00BA05B3" w:rsidP="00BA05B3">
      <w:pPr>
        <w:pStyle w:val="BodyTextIndent"/>
        <w:spacing w:after="120"/>
        <w:ind w:left="720" w:hanging="720"/>
      </w:pPr>
      <w:r w:rsidRPr="002F7E0E">
        <w:t>(3)</w:t>
      </w:r>
      <w:r w:rsidRPr="002F7E0E">
        <w:tab/>
      </w:r>
      <w:proofErr w:type="gramStart"/>
      <w:r w:rsidRPr="002F7E0E">
        <w:t>the</w:t>
      </w:r>
      <w:proofErr w:type="gramEnd"/>
      <w:r w:rsidRPr="002F7E0E">
        <w:t xml:space="preserve"> defendant had not purchased the merchandise;</w:t>
      </w:r>
    </w:p>
    <w:p w:rsidR="00BA05B3" w:rsidRPr="002F7E0E" w:rsidRDefault="00BA05B3" w:rsidP="00BA05B3">
      <w:pPr>
        <w:pStyle w:val="BodyTextIndent"/>
        <w:spacing w:after="120"/>
        <w:ind w:left="720" w:hanging="720"/>
      </w:pPr>
      <w:r w:rsidRPr="002F7E0E">
        <w:t>(4)</w:t>
      </w:r>
      <w:r w:rsidRPr="002F7E0E">
        <w:tab/>
      </w:r>
      <w:proofErr w:type="gramStart"/>
      <w:r w:rsidRPr="002F7E0E">
        <w:t>the</w:t>
      </w:r>
      <w:proofErr w:type="gramEnd"/>
      <w:r w:rsidRPr="002F7E0E">
        <w:t xml:space="preserve"> defendant was still upon the premises of the commercial establishment when the merchandise was concealed;</w:t>
      </w:r>
    </w:p>
    <w:p w:rsidR="00BA05B3" w:rsidRPr="002F7E0E" w:rsidRDefault="00BA05B3" w:rsidP="00BA05B3">
      <w:pPr>
        <w:pStyle w:val="BodyTextIndent"/>
        <w:spacing w:after="120"/>
        <w:ind w:left="720" w:hanging="720"/>
      </w:pPr>
      <w:r w:rsidRPr="002F7E0E">
        <w:t>(5)</w:t>
      </w:r>
      <w:r w:rsidRPr="002F7E0E">
        <w:tab/>
      </w:r>
      <w:proofErr w:type="gramStart"/>
      <w:r w:rsidRPr="002F7E0E">
        <w:t>the</w:t>
      </w:r>
      <w:proofErr w:type="gramEnd"/>
      <w:r w:rsidRPr="002F7E0E">
        <w:t xml:space="preserve"> defendant intended to deprive the owner of the merchandise or appropriate the merchandise</w:t>
      </w:r>
      <w:r>
        <w:t>;</w:t>
      </w:r>
      <w:r w:rsidRPr="002F7E0E">
        <w:t xml:space="preserve"> </w:t>
      </w:r>
    </w:p>
    <w:p w:rsidR="00BA05B3" w:rsidRDefault="00BA05B3" w:rsidP="00BA05B3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2F7E0E">
        <w:rPr>
          <w:rFonts w:ascii="Bookman Old Style" w:hAnsi="Bookman Old Style"/>
          <w:sz w:val="26"/>
        </w:rPr>
        <w:t>(6</w:t>
      </w:r>
      <w:r>
        <w:rPr>
          <w:rFonts w:ascii="Bookman Old Style" w:hAnsi="Bookman Old Style"/>
          <w:bCs/>
          <w:sz w:val="26"/>
        </w:rPr>
        <w:t>)</w:t>
      </w:r>
      <w:r w:rsidRPr="002F7E0E">
        <w:rPr>
          <w:rFonts w:ascii="Bookman Old Style" w:hAnsi="Bookman Old Style"/>
          <w:sz w:val="26"/>
        </w:rPr>
        <w:tab/>
      </w:r>
      <w:proofErr w:type="gramStart"/>
      <w:r w:rsidRPr="002F7E0E">
        <w:rPr>
          <w:rFonts w:ascii="Bookman Old Style" w:hAnsi="Bookman Old Style"/>
          <w:sz w:val="26"/>
        </w:rPr>
        <w:t>the</w:t>
      </w:r>
      <w:proofErr w:type="gramEnd"/>
      <w:r w:rsidRPr="002F7E0E">
        <w:rPr>
          <w:rFonts w:ascii="Bookman Old Style" w:hAnsi="Bookman Old Style"/>
          <w:sz w:val="26"/>
        </w:rPr>
        <w:t xml:space="preserve"> value of the merchandise was </w:t>
      </w:r>
      <w:r>
        <w:rPr>
          <w:rFonts w:ascii="Bookman Old Style" w:hAnsi="Bookman Old Style"/>
          <w:sz w:val="26"/>
        </w:rPr>
        <w:t xml:space="preserve">less than $250; and </w:t>
      </w:r>
    </w:p>
    <w:p w:rsidR="00BA05B3" w:rsidRPr="002F7E0E" w:rsidRDefault="00BA05B3" w:rsidP="00BA05B3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(7)</w:t>
      </w:r>
      <w:r>
        <w:rPr>
          <w:rFonts w:ascii="Bookman Old Style" w:hAnsi="Bookman Old Style"/>
          <w:sz w:val="26"/>
        </w:rPr>
        <w:tab/>
      </w:r>
      <w:proofErr w:type="gramStart"/>
      <w:r w:rsidRPr="00AB3F1D">
        <w:rPr>
          <w:rFonts w:ascii="Bookman Old Style" w:hAnsi="Bookman Old Style"/>
          <w:sz w:val="26"/>
        </w:rPr>
        <w:t>within</w:t>
      </w:r>
      <w:proofErr w:type="gramEnd"/>
      <w:r w:rsidRPr="00AB3F1D">
        <w:rPr>
          <w:rFonts w:ascii="Bookman Old Style" w:hAnsi="Bookman Old Style"/>
          <w:sz w:val="26"/>
        </w:rPr>
        <w:t xml:space="preserve"> the past five years, the defendant has been convicted and sentenced for theft</w:t>
      </w:r>
      <w:r>
        <w:rPr>
          <w:rFonts w:ascii="Bookman Old Style" w:hAnsi="Bookman Old Style"/>
          <w:sz w:val="26"/>
        </w:rPr>
        <w:t xml:space="preserve"> or concealment of merchandise</w:t>
      </w:r>
      <w:r w:rsidRPr="00AB3F1D">
        <w:rPr>
          <w:rFonts w:ascii="Bookman Old Style" w:hAnsi="Bookman Old Style"/>
          <w:sz w:val="26"/>
        </w:rPr>
        <w:t xml:space="preserve"> on two or more separate occasions in this or another jurisdiction.</w:t>
      </w:r>
      <w:r w:rsidRPr="00AB3F1D">
        <w:rPr>
          <w:rFonts w:ascii="Bookman Old Style" w:hAnsi="Bookman Old Style"/>
          <w:bCs/>
          <w:sz w:val="26"/>
        </w:rPr>
        <w:t>]</w:t>
      </w:r>
    </w:p>
    <w:p w:rsidR="00BA05B3" w:rsidRDefault="00BA05B3" w:rsidP="00BA05B3">
      <w:pPr>
        <w:tabs>
          <w:tab w:val="left" w:pos="5080"/>
        </w:tabs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ab/>
      </w:r>
    </w:p>
    <w:p w:rsidR="00DE52B0" w:rsidRDefault="00DE52B0" w:rsidP="00BA05B3">
      <w:pPr>
        <w:tabs>
          <w:tab w:val="left" w:pos="5080"/>
        </w:tabs>
        <w:rPr>
          <w:rFonts w:ascii="Bookman Old Style" w:hAnsi="Bookman Old Style"/>
          <w:sz w:val="28"/>
        </w:rPr>
      </w:pPr>
    </w:p>
    <w:p w:rsidR="00DE52B0" w:rsidRDefault="00DE52B0" w:rsidP="00BA05B3">
      <w:pPr>
        <w:tabs>
          <w:tab w:val="left" w:pos="5080"/>
        </w:tabs>
        <w:rPr>
          <w:rFonts w:ascii="Bookman Old Style" w:hAnsi="Bookman Old Style"/>
          <w:sz w:val="28"/>
        </w:rPr>
      </w:pPr>
    </w:p>
    <w:p w:rsidR="00DE52B0" w:rsidRDefault="00DE52B0" w:rsidP="00BA05B3">
      <w:pPr>
        <w:tabs>
          <w:tab w:val="left" w:pos="5080"/>
        </w:tabs>
        <w:rPr>
          <w:rFonts w:ascii="Bookman Old Style" w:hAnsi="Bookman Old Style"/>
          <w:sz w:val="28"/>
        </w:rPr>
      </w:pPr>
    </w:p>
    <w:p w:rsidR="00DE52B0" w:rsidRDefault="00DE52B0" w:rsidP="00BA05B3">
      <w:pPr>
        <w:tabs>
          <w:tab w:val="left" w:pos="5080"/>
        </w:tabs>
        <w:rPr>
          <w:rFonts w:ascii="Bookman Old Style" w:hAnsi="Bookman Old Style"/>
          <w:sz w:val="28"/>
        </w:rPr>
      </w:pPr>
    </w:p>
    <w:p w:rsidR="00DE52B0" w:rsidRPr="002F7E0E" w:rsidRDefault="00DE52B0" w:rsidP="00BA05B3">
      <w:pPr>
        <w:tabs>
          <w:tab w:val="left" w:pos="5080"/>
        </w:tabs>
        <w:rPr>
          <w:rFonts w:ascii="Bookman Old Style" w:hAnsi="Bookman Old Style"/>
          <w:sz w:val="28"/>
        </w:rPr>
      </w:pPr>
    </w:p>
    <w:p w:rsidR="00DE52B0" w:rsidRDefault="00DE52B0" w:rsidP="00DE52B0">
      <w:pPr>
        <w:pStyle w:val="BodyText3"/>
        <w:jc w:val="both"/>
        <w:rPr>
          <w:rFonts w:ascii="Bookman Old Style" w:hAnsi="Bookman Old Style"/>
          <w:sz w:val="26"/>
        </w:rPr>
      </w:pPr>
    </w:p>
    <w:p w:rsidR="00DE52B0" w:rsidRPr="00DE52B0" w:rsidRDefault="00DE52B0" w:rsidP="00DE52B0">
      <w:pPr>
        <w:tabs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DE52B0">
        <w:rPr>
          <w:rFonts w:ascii="Bookman Old Style" w:hAnsi="Bookman Old Style"/>
          <w:b/>
          <w:sz w:val="24"/>
          <w:szCs w:val="24"/>
        </w:rPr>
        <w:lastRenderedPageBreak/>
        <w:t>CONCEALMENT OF MERCHANDISE</w:t>
      </w:r>
      <w:r w:rsidRPr="00DE52B0">
        <w:rPr>
          <w:rFonts w:ascii="Bookman Old Style" w:hAnsi="Bookman Old Style"/>
          <w:b/>
          <w:sz w:val="24"/>
          <w:szCs w:val="24"/>
        </w:rPr>
        <w:tab/>
        <w:t>11.46.220(c</w:t>
      </w:r>
      <w:proofErr w:type="gramStart"/>
      <w:r w:rsidRPr="00DE52B0">
        <w:rPr>
          <w:rFonts w:ascii="Bookman Old Style" w:hAnsi="Bookman Old Style"/>
          <w:b/>
          <w:sz w:val="24"/>
          <w:szCs w:val="24"/>
        </w:rPr>
        <w:t>)(</w:t>
      </w:r>
      <w:proofErr w:type="gramEnd"/>
      <w:r w:rsidRPr="00DE52B0">
        <w:rPr>
          <w:rFonts w:ascii="Bookman Old Style" w:hAnsi="Bookman Old Style"/>
          <w:b/>
          <w:sz w:val="24"/>
          <w:szCs w:val="24"/>
        </w:rPr>
        <w:t xml:space="preserve">2)(B) </w:t>
      </w:r>
    </w:p>
    <w:p w:rsidR="00DE52B0" w:rsidRPr="00DE52B0" w:rsidRDefault="00DE52B0" w:rsidP="00DE52B0">
      <w:pPr>
        <w:tabs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DE52B0">
        <w:rPr>
          <w:rFonts w:ascii="Bookman Old Style" w:hAnsi="Bookman Old Style"/>
          <w:b/>
          <w:sz w:val="24"/>
          <w:szCs w:val="24"/>
        </w:rPr>
        <w:t>(CLASS A MISDEMEANOR)</w:t>
      </w:r>
    </w:p>
    <w:p w:rsidR="00DE52B0" w:rsidRPr="00DE52B0" w:rsidRDefault="00DE52B0" w:rsidP="00DE52B0">
      <w:pPr>
        <w:tabs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Revised 2017</w:t>
      </w:r>
      <w:bookmarkStart w:id="0" w:name="_GoBack"/>
      <w:bookmarkEnd w:id="0"/>
    </w:p>
    <w:p w:rsidR="00DE52B0" w:rsidRPr="00DE52B0" w:rsidRDefault="00DE52B0" w:rsidP="00DE52B0">
      <w:pPr>
        <w:tabs>
          <w:tab w:val="right" w:pos="9270"/>
        </w:tabs>
        <w:jc w:val="both"/>
        <w:rPr>
          <w:rFonts w:ascii="Bookman Old Style" w:hAnsi="Bookman Old Style"/>
          <w:b/>
          <w:snapToGrid w:val="0"/>
          <w:sz w:val="24"/>
          <w:szCs w:val="24"/>
        </w:rPr>
      </w:pPr>
      <w:r w:rsidRPr="00DE52B0">
        <w:rPr>
          <w:rFonts w:ascii="Bookman Old Style" w:hAnsi="Bookman Old Style"/>
          <w:b/>
          <w:snapToGrid w:val="0"/>
          <w:sz w:val="24"/>
          <w:szCs w:val="24"/>
        </w:rPr>
        <w:t xml:space="preserve">Page 2 of </w:t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instrText xml:space="preserve"> NUMPAGES </w:instrText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DE52B0">
        <w:rPr>
          <w:rFonts w:ascii="Bookman Old Style" w:hAnsi="Bookman Old Style"/>
          <w:b/>
          <w:noProof/>
          <w:snapToGrid w:val="0"/>
          <w:sz w:val="24"/>
          <w:szCs w:val="24"/>
        </w:rPr>
        <w:t>2</w:t>
      </w:r>
      <w:r w:rsidRPr="00DE52B0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</w:p>
    <w:p w:rsidR="00DE52B0" w:rsidRPr="00E2302F" w:rsidRDefault="00DE52B0" w:rsidP="00DE52B0">
      <w:pPr>
        <w:tabs>
          <w:tab w:val="right" w:pos="9270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napToGrid w:val="0"/>
        </w:rPr>
        <w:t>_________________________________________________________________________________________</w:t>
      </w:r>
    </w:p>
    <w:p w:rsidR="00DE52B0" w:rsidRDefault="00DE52B0" w:rsidP="00DE52B0">
      <w:pPr>
        <w:pStyle w:val="BodyText3"/>
        <w:jc w:val="both"/>
        <w:rPr>
          <w:rFonts w:ascii="Bookman Old Style" w:hAnsi="Bookman Old Style"/>
          <w:sz w:val="26"/>
        </w:rPr>
      </w:pPr>
    </w:p>
    <w:p w:rsidR="00DE52B0" w:rsidRDefault="00DE52B0" w:rsidP="00BA05B3">
      <w:pPr>
        <w:pStyle w:val="Heading1"/>
      </w:pPr>
    </w:p>
    <w:p w:rsidR="00DE52B0" w:rsidRDefault="00DE52B0" w:rsidP="00BA05B3">
      <w:pPr>
        <w:pStyle w:val="Heading1"/>
      </w:pPr>
    </w:p>
    <w:p w:rsidR="00BA05B3" w:rsidRDefault="00BA05B3" w:rsidP="00BA05B3">
      <w:pPr>
        <w:pStyle w:val="Heading1"/>
      </w:pPr>
      <w:r>
        <w:t>USE NOTE</w:t>
      </w:r>
    </w:p>
    <w:p w:rsidR="00BA05B3" w:rsidRDefault="00BA05B3" w:rsidP="00BA05B3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BA05B3" w:rsidRDefault="00BA05B3" w:rsidP="00BA05B3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appropriate</w:t>
      </w:r>
      <w:proofErr w:type="gramEnd"/>
      <w:r>
        <w:rPr>
          <w:rFonts w:ascii="Bookman Old Style" w:hAnsi="Bookman Old Style"/>
          <w:color w:val="000000"/>
          <w:sz w:val="26"/>
        </w:rPr>
        <w:t>” – 11.46.990</w:t>
      </w:r>
    </w:p>
    <w:p w:rsidR="00BA05B3" w:rsidRDefault="00BA05B3" w:rsidP="00BA05B3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deprive</w:t>
      </w:r>
      <w:proofErr w:type="gramEnd"/>
      <w:r>
        <w:rPr>
          <w:rFonts w:ascii="Bookman Old Style" w:hAnsi="Bookman Old Style"/>
          <w:color w:val="000000"/>
          <w:sz w:val="26"/>
        </w:rPr>
        <w:t>” – 11.46.990</w:t>
      </w:r>
    </w:p>
    <w:p w:rsidR="00BA05B3" w:rsidRDefault="00BA05B3" w:rsidP="00BA05B3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“</w:t>
      </w:r>
      <w:proofErr w:type="gramStart"/>
      <w:r>
        <w:rPr>
          <w:rFonts w:ascii="Bookman Old Style" w:hAnsi="Bookman Old Style"/>
          <w:sz w:val="26"/>
        </w:rPr>
        <w:t>intentionally</w:t>
      </w:r>
      <w:proofErr w:type="gramEnd"/>
      <w:r>
        <w:rPr>
          <w:rFonts w:ascii="Bookman Old Style" w:hAnsi="Bookman Old Style"/>
          <w:sz w:val="26"/>
        </w:rPr>
        <w:t>”</w:t>
      </w:r>
      <w:r w:rsidRPr="00507850">
        <w:rPr>
          <w:rFonts w:ascii="Bookman Old Style" w:hAnsi="Bookman Old Style"/>
          <w:sz w:val="26"/>
        </w:rPr>
        <w:t xml:space="preserve"> – </w:t>
      </w:r>
      <w:r>
        <w:rPr>
          <w:rFonts w:ascii="Bookman Old Style" w:hAnsi="Bookman Old Style"/>
          <w:color w:val="000000"/>
          <w:sz w:val="26"/>
        </w:rPr>
        <w:t>11.81.900(a)</w:t>
      </w:r>
    </w:p>
    <w:p w:rsidR="00BA05B3" w:rsidRDefault="00BA05B3" w:rsidP="00BA05B3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“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>”</w:t>
      </w:r>
      <w:r w:rsidRPr="00507850">
        <w:rPr>
          <w:rFonts w:ascii="Bookman Old Style" w:hAnsi="Bookman Old Style"/>
          <w:sz w:val="26"/>
        </w:rPr>
        <w:t xml:space="preserve"> – </w:t>
      </w:r>
      <w:r>
        <w:rPr>
          <w:rFonts w:ascii="Bookman Old Style" w:hAnsi="Bookman Old Style"/>
          <w:sz w:val="26"/>
        </w:rPr>
        <w:t>11.81.900(a)</w:t>
      </w:r>
    </w:p>
    <w:p w:rsidR="00BA05B3" w:rsidRDefault="00BA05B3" w:rsidP="00BA05B3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>
        <w:rPr>
          <w:rFonts w:ascii="Bookman Old Style" w:hAnsi="Bookman Old Style"/>
          <w:color w:val="000000"/>
          <w:sz w:val="26"/>
        </w:rPr>
        <w:t>premises</w:t>
      </w:r>
      <w:proofErr w:type="gramEnd"/>
      <w:r>
        <w:rPr>
          <w:rFonts w:ascii="Bookman Old Style" w:hAnsi="Bookman Old Style"/>
          <w:color w:val="000000"/>
          <w:sz w:val="26"/>
        </w:rPr>
        <w:t>” – 11.81.900(b)</w:t>
      </w:r>
    </w:p>
    <w:p w:rsidR="00BA05B3" w:rsidRDefault="00BA05B3" w:rsidP="00BA05B3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BA05B3" w:rsidRDefault="00BA05B3" w:rsidP="00BA05B3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11.46.980.</w:t>
      </w:r>
    </w:p>
    <w:p w:rsidR="00BA05B3" w:rsidRDefault="00BA05B3" w:rsidP="00BA05B3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861DA4" w:rsidRDefault="00BA05B3" w:rsidP="00BA05B3">
      <w:r>
        <w:rPr>
          <w:rFonts w:ascii="Bookman Old Style" w:hAnsi="Bookman Old Style"/>
          <w:sz w:val="26"/>
        </w:rPr>
        <w:t xml:space="preserve">This theory of concealment of merchandise requires proof that the defendant has two or more prior convictions.  In </w:t>
      </w:r>
      <w:proofErr w:type="spellStart"/>
      <w:r>
        <w:rPr>
          <w:rFonts w:ascii="Bookman Old Style" w:hAnsi="Bookman Old Style"/>
          <w:sz w:val="26"/>
          <w:u w:val="single"/>
        </w:rPr>
        <w:t>Ostlund</w:t>
      </w:r>
      <w:proofErr w:type="spellEnd"/>
      <w:r>
        <w:rPr>
          <w:rFonts w:ascii="Bookman Old Style" w:hAnsi="Bookman Old Style"/>
          <w:sz w:val="26"/>
          <w:u w:val="single"/>
        </w:rPr>
        <w:t xml:space="preserve"> v. State</w:t>
      </w:r>
      <w:r>
        <w:rPr>
          <w:rFonts w:ascii="Bookman Old Style" w:hAnsi="Bookman Old Style"/>
          <w:sz w:val="26"/>
        </w:rPr>
        <w:t>, 51 P.3d 938 (Alaska App. 2002), the court held that the trial court shall bifurcate the determination of previous convictions unless the trial judge determines the convictions are relevant for a purpose other than to establish that the offense was a felony and are admissible under Evidence Rule 403. The prior convictions element is therefore placed in a separate instruction to be given in the bifurcated second stage of the trial.</w:t>
      </w:r>
    </w:p>
    <w:sectPr w:rsidR="0086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B3"/>
    <w:rsid w:val="00785707"/>
    <w:rsid w:val="00BA05B3"/>
    <w:rsid w:val="00DE52B0"/>
    <w:rsid w:val="00E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A05B3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05B3"/>
    <w:rPr>
      <w:rFonts w:ascii="Bookman Old Style" w:eastAsia="Times New Roman" w:hAnsi="Bookman Old Style" w:cs="Times New Roman"/>
      <w:b/>
      <w:sz w:val="26"/>
      <w:szCs w:val="20"/>
    </w:rPr>
  </w:style>
  <w:style w:type="paragraph" w:styleId="BodyTextIndent">
    <w:name w:val="Body Text Indent"/>
    <w:basedOn w:val="Normal"/>
    <w:link w:val="BodyTextIndentChar"/>
    <w:rsid w:val="00BA05B3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BA05B3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BA05B3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BA05B3"/>
    <w:rPr>
      <w:rFonts w:ascii="Bookman Old Style" w:eastAsia="Times New Roman" w:hAnsi="Bookman Old Style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BA05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05B3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A05B3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05B3"/>
    <w:rPr>
      <w:rFonts w:ascii="Bookman Old Style" w:eastAsia="Times New Roman" w:hAnsi="Bookman Old Style" w:cs="Times New Roman"/>
      <w:b/>
      <w:sz w:val="26"/>
      <w:szCs w:val="20"/>
    </w:rPr>
  </w:style>
  <w:style w:type="paragraph" w:styleId="BodyTextIndent">
    <w:name w:val="Body Text Indent"/>
    <w:basedOn w:val="Normal"/>
    <w:link w:val="BodyTextIndentChar"/>
    <w:rsid w:val="00BA05B3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BA05B3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BA05B3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BA05B3"/>
    <w:rPr>
      <w:rFonts w:ascii="Bookman Old Style" w:eastAsia="Times New Roman" w:hAnsi="Bookman Old Style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BA05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05B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Montgomery</dc:creator>
  <cp:lastModifiedBy>Robert Polley</cp:lastModifiedBy>
  <cp:revision>2</cp:revision>
  <dcterms:created xsi:type="dcterms:W3CDTF">2017-06-21T19:46:00Z</dcterms:created>
  <dcterms:modified xsi:type="dcterms:W3CDTF">2017-06-21T23:54:00Z</dcterms:modified>
</cp:coreProperties>
</file>