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2D" w:rsidRDefault="00E6522D" w:rsidP="00E6522D">
      <w:pPr>
        <w:pStyle w:val="PJItext"/>
        <w:spacing w:line="240" w:lineRule="auto"/>
        <w:rPr>
          <w:b/>
        </w:rPr>
      </w:pPr>
      <w:r w:rsidRPr="00E6522D">
        <w:rPr>
          <w:b/>
          <w:caps/>
        </w:rPr>
        <w:t>Tampering with Physical Evidence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943CD">
        <w:rPr>
          <w:b/>
        </w:rPr>
        <w:t>AS 11.56.610(a)(1)</w:t>
      </w:r>
    </w:p>
    <w:p w:rsidR="00E6522D" w:rsidRDefault="00E6522D" w:rsidP="00E6522D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Added 2022</w:t>
      </w:r>
    </w:p>
    <w:p w:rsidR="00E6522D" w:rsidRPr="00E6522D" w:rsidRDefault="00971F4E" w:rsidP="00635B2B">
      <w:pPr>
        <w:pStyle w:val="Header"/>
        <w:rPr>
          <w:rFonts w:ascii="Bookman Old Style" w:hAnsi="Bookman Old Style"/>
          <w:b/>
          <w:sz w:val="26"/>
          <w:szCs w:val="26"/>
        </w:rPr>
      </w:pPr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Bookman Old Style" w:hAnsi="Bookman Old Style"/>
            <w:b/>
            <w:sz w:val="26"/>
            <w:szCs w:val="26"/>
          </w:rPr>
        </w:sdtEndPr>
        <w:sdtContent>
          <w:r w:rsidR="00E6522D" w:rsidRPr="00E6522D">
            <w:rPr>
              <w:rFonts w:ascii="Bookman Old Style" w:hAnsi="Bookman Old Style"/>
              <w:b/>
              <w:sz w:val="26"/>
              <w:szCs w:val="26"/>
            </w:rPr>
            <w:t xml:space="preserve">Page 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begin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instrText xml:space="preserve"> PAGE </w:instrTex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separate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t>1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end"/>
          </w:r>
          <w:r w:rsidR="00E6522D" w:rsidRPr="00E6522D">
            <w:rPr>
              <w:rFonts w:ascii="Bookman Old Style" w:hAnsi="Bookman Old Style"/>
              <w:b/>
              <w:sz w:val="26"/>
              <w:szCs w:val="26"/>
            </w:rPr>
            <w:t xml:space="preserve"> of 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begin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instrText xml:space="preserve"> NUMPAGES  </w:instrTex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separate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t>2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end"/>
          </w:r>
        </w:sdtContent>
      </w:sdt>
    </w:p>
    <w:p w:rsidR="00E6522D" w:rsidRDefault="00E6522D" w:rsidP="00E6522D">
      <w:pPr>
        <w:pStyle w:val="Header"/>
        <w:tabs>
          <w:tab w:val="clear" w:pos="4320"/>
          <w:tab w:val="clear" w:pos="8640"/>
          <w:tab w:val="right" w:pos="9270"/>
        </w:tabs>
        <w:spacing w:before="240"/>
        <w:jc w:val="both"/>
        <w:rPr>
          <w:rFonts w:ascii="Courier New" w:hAnsi="Courier New"/>
          <w:sz w:val="24"/>
        </w:rPr>
      </w:pPr>
      <w:r>
        <w:rPr>
          <w:rFonts w:ascii="Bookman Old Style" w:hAnsi="Bookman Old Style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669280" cy="5080"/>
                <wp:effectExtent l="7620" t="635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5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E39E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BHwIAADoEAAAOAAAAZHJzL2Uyb0RvYy54bWysU8Gu2yAQvFfqPyDfE9upk5d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" o:allowincell="f" strokeweight="1pt"/>
            </w:pict>
          </mc:Fallback>
        </mc:AlternateContent>
      </w:r>
    </w:p>
    <w:p w:rsidR="00E6522D" w:rsidRDefault="00E6522D" w:rsidP="00E6522D">
      <w:pPr>
        <w:pStyle w:val="PJItext"/>
        <w:spacing w:before="120" w:after="120" w:line="360" w:lineRule="auto"/>
        <w:rPr>
          <w:b/>
        </w:rPr>
      </w:pPr>
    </w:p>
    <w:p w:rsidR="00E6522D" w:rsidRDefault="00635B2B" w:rsidP="005C59D0">
      <w:pPr>
        <w:pStyle w:val="PJItext"/>
        <w:spacing w:line="360" w:lineRule="auto"/>
      </w:pPr>
      <w:r w:rsidRPr="009D2E55">
        <w:rPr>
          <w:color w:val="000000"/>
          <w:szCs w:val="26"/>
          <w:u w:val="single"/>
        </w:rPr>
        <w:t xml:space="preserve">         </w:t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</w:rPr>
        <w:t>,</w:t>
      </w:r>
      <w:r>
        <w:rPr>
          <w:color w:val="000000"/>
          <w:szCs w:val="26"/>
        </w:rPr>
        <w:t xml:space="preserve"> t</w:t>
      </w:r>
      <w:r w:rsidR="00E6522D" w:rsidRPr="002E0720">
        <w:t>he defendant in this case, has been charged with the c</w:t>
      </w:r>
      <w:bookmarkStart w:id="0" w:name="_GoBack"/>
      <w:bookmarkEnd w:id="0"/>
      <w:r w:rsidR="00E6522D" w:rsidRPr="002E0720">
        <w:t xml:space="preserve">rime of </w:t>
      </w:r>
      <w:r w:rsidR="00E6522D">
        <w:t>tampering with physical evidence in the first degree</w:t>
      </w:r>
      <w:r w:rsidR="00E6522D" w:rsidRPr="002E0720">
        <w:t>.</w:t>
      </w:r>
    </w:p>
    <w:p w:rsidR="00E6522D" w:rsidRDefault="00E6522D" w:rsidP="00E6522D">
      <w:pPr>
        <w:pStyle w:val="PJItext"/>
        <w:spacing w:after="120" w:line="240" w:lineRule="auto"/>
      </w:pPr>
    </w:p>
    <w:p w:rsidR="00E6522D" w:rsidRDefault="00E6522D" w:rsidP="00E6522D">
      <w:pPr>
        <w:pStyle w:val="PJItext"/>
        <w:spacing w:line="360" w:lineRule="auto"/>
        <w:rPr>
          <w:szCs w:val="26"/>
        </w:rPr>
      </w:pPr>
      <w:r w:rsidRPr="002E0720">
        <w:t xml:space="preserve">To prove that the defendant committed this crime, the state </w:t>
      </w:r>
      <w:r w:rsidRPr="00281C21">
        <w:rPr>
          <w:szCs w:val="26"/>
        </w:rPr>
        <w:t>must prove</w:t>
      </w:r>
      <w:r>
        <w:rPr>
          <w:szCs w:val="26"/>
        </w:rPr>
        <w:t xml:space="preserve"> </w:t>
      </w:r>
      <w:r w:rsidRPr="00281C21">
        <w:rPr>
          <w:szCs w:val="26"/>
        </w:rPr>
        <w:t>beyond a reasonable doubt</w:t>
      </w:r>
      <w:r>
        <w:rPr>
          <w:szCs w:val="26"/>
        </w:rPr>
        <w:t xml:space="preserve"> each of the following elements</w:t>
      </w:r>
      <w:r w:rsidRPr="00281C21">
        <w:rPr>
          <w:szCs w:val="26"/>
        </w:rPr>
        <w:t>:</w:t>
      </w:r>
    </w:p>
    <w:p w:rsidR="00E6522D" w:rsidRPr="00E6522D" w:rsidRDefault="00E6522D" w:rsidP="00E6522D">
      <w:pPr>
        <w:tabs>
          <w:tab w:val="left" w:pos="3300"/>
        </w:tabs>
      </w:pPr>
      <w:r>
        <w:tab/>
      </w:r>
    </w:p>
    <w:p w:rsidR="00E6522D" w:rsidRPr="00281C21" w:rsidRDefault="00E6522D" w:rsidP="00F63760">
      <w:pPr>
        <w:pStyle w:val="PJItext"/>
        <w:spacing w:before="120" w:after="120" w:line="360" w:lineRule="auto"/>
        <w:ind w:left="720" w:hanging="720"/>
        <w:rPr>
          <w:szCs w:val="26"/>
        </w:rPr>
      </w:pPr>
      <w:r w:rsidRPr="00281C21">
        <w:rPr>
          <w:szCs w:val="26"/>
        </w:rPr>
        <w:t>(1)</w:t>
      </w:r>
      <w:r w:rsidRPr="00281C21">
        <w:rPr>
          <w:szCs w:val="26"/>
        </w:rPr>
        <w:tab/>
        <w:t xml:space="preserve">The defendant knowingly </w:t>
      </w:r>
      <w:r>
        <w:rPr>
          <w:szCs w:val="26"/>
        </w:rPr>
        <w:t>[</w:t>
      </w:r>
      <w:r w:rsidRPr="00281C21">
        <w:rPr>
          <w:szCs w:val="26"/>
        </w:rPr>
        <w:t>destroyed</w:t>
      </w:r>
      <w:r>
        <w:rPr>
          <w:szCs w:val="26"/>
        </w:rPr>
        <w:t>]</w:t>
      </w:r>
      <w:r w:rsidRPr="00281C21">
        <w:rPr>
          <w:szCs w:val="26"/>
        </w:rPr>
        <w:t xml:space="preserve">, </w:t>
      </w:r>
      <w:r>
        <w:rPr>
          <w:szCs w:val="26"/>
        </w:rPr>
        <w:t>[</w:t>
      </w:r>
      <w:r w:rsidRPr="00281C21">
        <w:rPr>
          <w:szCs w:val="26"/>
        </w:rPr>
        <w:t>mutilated</w:t>
      </w:r>
      <w:r>
        <w:rPr>
          <w:szCs w:val="26"/>
        </w:rPr>
        <w:t>]</w:t>
      </w:r>
      <w:r w:rsidRPr="00281C21">
        <w:rPr>
          <w:szCs w:val="26"/>
        </w:rPr>
        <w:t xml:space="preserve">, </w:t>
      </w:r>
      <w:r>
        <w:rPr>
          <w:szCs w:val="26"/>
        </w:rPr>
        <w:t>[</w:t>
      </w:r>
      <w:r w:rsidRPr="00281C21">
        <w:rPr>
          <w:szCs w:val="26"/>
        </w:rPr>
        <w:t>altered</w:t>
      </w:r>
      <w:r>
        <w:rPr>
          <w:szCs w:val="26"/>
        </w:rPr>
        <w:t>]</w:t>
      </w:r>
      <w:r w:rsidRPr="00281C21">
        <w:rPr>
          <w:szCs w:val="26"/>
        </w:rPr>
        <w:t xml:space="preserve">, </w:t>
      </w:r>
      <w:r>
        <w:rPr>
          <w:szCs w:val="26"/>
        </w:rPr>
        <w:t>[</w:t>
      </w:r>
      <w:r w:rsidRPr="00281C21">
        <w:rPr>
          <w:szCs w:val="26"/>
        </w:rPr>
        <w:t>suppressed</w:t>
      </w:r>
      <w:r>
        <w:rPr>
          <w:szCs w:val="26"/>
        </w:rPr>
        <w:t>]</w:t>
      </w:r>
      <w:r w:rsidRPr="00281C21">
        <w:rPr>
          <w:szCs w:val="26"/>
        </w:rPr>
        <w:t xml:space="preserve">, </w:t>
      </w:r>
      <w:r>
        <w:rPr>
          <w:szCs w:val="26"/>
        </w:rPr>
        <w:t>[</w:t>
      </w:r>
      <w:r w:rsidRPr="00281C21">
        <w:rPr>
          <w:szCs w:val="26"/>
        </w:rPr>
        <w:t>concealed</w:t>
      </w:r>
      <w:r>
        <w:rPr>
          <w:szCs w:val="26"/>
        </w:rPr>
        <w:t>]</w:t>
      </w:r>
      <w:r w:rsidRPr="00281C21">
        <w:rPr>
          <w:szCs w:val="26"/>
        </w:rPr>
        <w:t xml:space="preserve"> </w:t>
      </w:r>
      <w:r>
        <w:rPr>
          <w:szCs w:val="26"/>
        </w:rPr>
        <w:t>[</w:t>
      </w:r>
      <w:r w:rsidRPr="00281C21">
        <w:rPr>
          <w:szCs w:val="26"/>
        </w:rPr>
        <w:t>removed</w:t>
      </w:r>
      <w:r>
        <w:rPr>
          <w:szCs w:val="26"/>
        </w:rPr>
        <w:t>]</w:t>
      </w:r>
      <w:r w:rsidRPr="00281C21">
        <w:rPr>
          <w:szCs w:val="26"/>
        </w:rPr>
        <w:t xml:space="preserve"> physical evidence;</w:t>
      </w:r>
      <w:r>
        <w:rPr>
          <w:szCs w:val="26"/>
        </w:rPr>
        <w:t xml:space="preserve"> and</w:t>
      </w:r>
    </w:p>
    <w:p w:rsidR="00E6522D" w:rsidRPr="00281C21" w:rsidRDefault="00E6522D" w:rsidP="00F63760">
      <w:pPr>
        <w:spacing w:line="360" w:lineRule="auto"/>
        <w:ind w:left="720" w:hanging="720"/>
        <w:jc w:val="both"/>
        <w:rPr>
          <w:rFonts w:ascii="Bookman Old Style" w:hAnsi="Bookman Old Style"/>
          <w:sz w:val="26"/>
          <w:szCs w:val="26"/>
        </w:rPr>
      </w:pPr>
      <w:r w:rsidRPr="00281C21">
        <w:rPr>
          <w:rFonts w:ascii="Bookman Old Style" w:hAnsi="Bookman Old Style"/>
          <w:sz w:val="26"/>
          <w:szCs w:val="26"/>
        </w:rPr>
        <w:t>(2)</w:t>
      </w:r>
      <w:r w:rsidRPr="00281C2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The defendant did so with the intent to impair the physical evidence’s verity or availability in an [official proceeding] [criminal investigation].</w:t>
      </w:r>
    </w:p>
    <w:p w:rsidR="00E6522D" w:rsidRDefault="00E6522D" w:rsidP="00E6522D"/>
    <w:p w:rsidR="00E6522D" w:rsidRDefault="00E6522D" w:rsidP="00E6522D">
      <w:pPr>
        <w:pStyle w:val="PJItext"/>
        <w:spacing w:before="120" w:after="120" w:line="360" w:lineRule="auto"/>
        <w:rPr>
          <w:b/>
        </w:rPr>
      </w:pPr>
    </w:p>
    <w:p w:rsidR="00E6522D" w:rsidRDefault="00E6522D" w:rsidP="00E6522D">
      <w:pPr>
        <w:jc w:val="center"/>
        <w:rPr>
          <w:rFonts w:ascii="Bookman Old Style" w:hAnsi="Bookman Old Style"/>
          <w:b/>
          <w:sz w:val="26"/>
          <w:szCs w:val="26"/>
        </w:rPr>
      </w:pPr>
      <w:r w:rsidRPr="00565EC0">
        <w:rPr>
          <w:rFonts w:ascii="Bookman Old Style" w:hAnsi="Bookman Old Style"/>
          <w:b/>
          <w:sz w:val="26"/>
          <w:szCs w:val="26"/>
        </w:rPr>
        <w:t>USE NOTE</w:t>
      </w:r>
    </w:p>
    <w:p w:rsidR="00E6522D" w:rsidRPr="00565EC0" w:rsidRDefault="00E6522D" w:rsidP="00E6522D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E6522D" w:rsidRPr="00565EC0" w:rsidRDefault="00E6522D" w:rsidP="00E6522D">
      <w:pPr>
        <w:rPr>
          <w:rFonts w:ascii="Bookman Old Style" w:hAnsi="Bookman Old Style"/>
          <w:sz w:val="26"/>
          <w:szCs w:val="26"/>
        </w:rPr>
      </w:pPr>
      <w:r w:rsidRPr="00565EC0">
        <w:rPr>
          <w:rFonts w:ascii="Bookman Old Style" w:hAnsi="Bookman Old Style"/>
          <w:sz w:val="26"/>
          <w:szCs w:val="26"/>
        </w:rPr>
        <w:t>The following terms are defined in a statute or other instructions:</w:t>
      </w:r>
    </w:p>
    <w:p w:rsidR="00E6522D" w:rsidRPr="00565EC0" w:rsidRDefault="00E6522D" w:rsidP="00E6522D">
      <w:pPr>
        <w:rPr>
          <w:rFonts w:ascii="Bookman Old Style" w:hAnsi="Bookman Old Style"/>
          <w:sz w:val="26"/>
          <w:szCs w:val="26"/>
        </w:rPr>
      </w:pPr>
    </w:p>
    <w:p w:rsidR="00E6522D" w:rsidRPr="00565EC0" w:rsidRDefault="00E6522D" w:rsidP="00E6522D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“k</w:t>
      </w:r>
      <w:r w:rsidRPr="00565EC0">
        <w:rPr>
          <w:szCs w:val="26"/>
        </w:rPr>
        <w:t>nowingly</w:t>
      </w:r>
      <w:r>
        <w:rPr>
          <w:szCs w:val="26"/>
        </w:rPr>
        <w:t>” –</w:t>
      </w:r>
      <w:r w:rsidRPr="00565EC0">
        <w:rPr>
          <w:szCs w:val="26"/>
        </w:rPr>
        <w:t xml:space="preserve"> AS 11.81.900</w:t>
      </w:r>
    </w:p>
    <w:p w:rsidR="00E6522D" w:rsidRPr="00565EC0" w:rsidRDefault="00E6522D" w:rsidP="00E6522D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“i</w:t>
      </w:r>
      <w:r w:rsidRPr="00565EC0">
        <w:rPr>
          <w:szCs w:val="26"/>
        </w:rPr>
        <w:t>ntentionally</w:t>
      </w:r>
      <w:r>
        <w:rPr>
          <w:szCs w:val="26"/>
        </w:rPr>
        <w:t>” –</w:t>
      </w:r>
      <w:r w:rsidRPr="00565EC0">
        <w:rPr>
          <w:szCs w:val="26"/>
        </w:rPr>
        <w:t xml:space="preserve"> AS 11.81.900</w:t>
      </w:r>
    </w:p>
    <w:p w:rsidR="00F63760" w:rsidRPr="00565EC0" w:rsidRDefault="00F63760" w:rsidP="00F63760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“o</w:t>
      </w:r>
      <w:r w:rsidRPr="00565EC0">
        <w:rPr>
          <w:szCs w:val="26"/>
        </w:rPr>
        <w:t xml:space="preserve">fficial </w:t>
      </w:r>
      <w:r>
        <w:rPr>
          <w:szCs w:val="26"/>
        </w:rPr>
        <w:t>p</w:t>
      </w:r>
      <w:r w:rsidRPr="00565EC0">
        <w:rPr>
          <w:szCs w:val="26"/>
        </w:rPr>
        <w:t>roceeding</w:t>
      </w:r>
      <w:r>
        <w:rPr>
          <w:szCs w:val="26"/>
        </w:rPr>
        <w:t>” –</w:t>
      </w:r>
      <w:r w:rsidRPr="00565EC0">
        <w:rPr>
          <w:szCs w:val="26"/>
        </w:rPr>
        <w:t xml:space="preserve"> AS 11.81.900</w:t>
      </w:r>
    </w:p>
    <w:p w:rsidR="00E6522D" w:rsidRPr="00565EC0" w:rsidRDefault="00E6522D" w:rsidP="00E6522D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“p</w:t>
      </w:r>
      <w:r w:rsidRPr="00565EC0">
        <w:rPr>
          <w:szCs w:val="26"/>
        </w:rPr>
        <w:t xml:space="preserve">hysical </w:t>
      </w:r>
      <w:r>
        <w:rPr>
          <w:szCs w:val="26"/>
        </w:rPr>
        <w:t>e</w:t>
      </w:r>
      <w:r w:rsidRPr="00565EC0">
        <w:rPr>
          <w:szCs w:val="26"/>
        </w:rPr>
        <w:t>vidence</w:t>
      </w:r>
      <w:r>
        <w:rPr>
          <w:szCs w:val="26"/>
        </w:rPr>
        <w:t>” –</w:t>
      </w:r>
      <w:r w:rsidRPr="00565EC0">
        <w:rPr>
          <w:szCs w:val="26"/>
        </w:rPr>
        <w:t xml:space="preserve"> AS 11.56.900(4)</w:t>
      </w:r>
    </w:p>
    <w:p w:rsidR="00E6522D" w:rsidRPr="00F27B36" w:rsidRDefault="00E6522D" w:rsidP="00E6522D">
      <w:pPr>
        <w:rPr>
          <w:rFonts w:ascii="Bookman Old Style" w:hAnsi="Bookman Old Style" w:cs="Arial"/>
          <w:snapToGrid w:val="0"/>
          <w:sz w:val="26"/>
        </w:rPr>
      </w:pPr>
    </w:p>
    <w:p w:rsidR="00E6522D" w:rsidRPr="00565EC0" w:rsidRDefault="00E6522D" w:rsidP="00E6522D">
      <w:pPr>
        <w:jc w:val="both"/>
        <w:rPr>
          <w:i/>
        </w:rPr>
      </w:pPr>
      <w:r w:rsidRPr="00F27B36">
        <w:rPr>
          <w:rFonts w:ascii="Bookman Old Style" w:hAnsi="Bookman Old Style" w:cs="Arial"/>
          <w:snapToGrid w:val="0"/>
          <w:sz w:val="26"/>
        </w:rPr>
        <w:t>The crucial inquiry in determining whether the removal of evidence constitutes evidence tampering is whether the defendant’s actions disguised the evidentiary value of the article.</w:t>
      </w:r>
      <w:r w:rsidR="00F63760">
        <w:rPr>
          <w:rFonts w:ascii="Bookman Old Style" w:hAnsi="Bookman Old Style" w:cs="Arial"/>
          <w:snapToGrid w:val="0"/>
          <w:sz w:val="26"/>
        </w:rPr>
        <w:t xml:space="preserve"> </w:t>
      </w:r>
      <w:r w:rsidRPr="00F27B36">
        <w:rPr>
          <w:rFonts w:ascii="Bookman Old Style" w:hAnsi="Bookman Old Style" w:cs="Arial"/>
          <w:snapToGrid w:val="0"/>
          <w:sz w:val="26"/>
        </w:rPr>
        <w:t xml:space="preserve"> </w:t>
      </w:r>
      <w:r w:rsidRPr="00565EC0">
        <w:rPr>
          <w:rFonts w:ascii="Bookman Old Style" w:hAnsi="Bookman Old Style" w:cs="Arial"/>
          <w:i/>
          <w:snapToGrid w:val="0"/>
          <w:sz w:val="26"/>
        </w:rPr>
        <w:t>Anderson v. State</w:t>
      </w:r>
      <w:r w:rsidRPr="00447411">
        <w:rPr>
          <w:rFonts w:ascii="Bookman Old Style" w:hAnsi="Bookman Old Style" w:cs="Arial"/>
          <w:snapToGrid w:val="0"/>
          <w:sz w:val="26"/>
        </w:rPr>
        <w:t>, 123 P.3d 1110, 1118 (Alaska App. 2005)</w:t>
      </w:r>
      <w:r>
        <w:rPr>
          <w:rFonts w:ascii="Bookman Old Style" w:hAnsi="Bookman Old Style" w:cs="Arial"/>
          <w:snapToGrid w:val="0"/>
          <w:sz w:val="26"/>
        </w:rPr>
        <w:t xml:space="preserve">.  Similarly, whether an act constitutes “alteration” depends upon whether the defendant’s conduct disguised or </w:t>
      </w:r>
      <w:r>
        <w:rPr>
          <w:rFonts w:ascii="Bookman Old Style" w:hAnsi="Bookman Old Style" w:cs="Arial"/>
          <w:snapToGrid w:val="0"/>
          <w:sz w:val="26"/>
        </w:rPr>
        <w:lastRenderedPageBreak/>
        <w:t xml:space="preserve">altered the evidentiary value of the item.  </w:t>
      </w:r>
      <w:r>
        <w:rPr>
          <w:rFonts w:ascii="Bookman Old Style" w:hAnsi="Bookman Old Style" w:cs="Arial"/>
          <w:i/>
          <w:snapToGrid w:val="0"/>
          <w:sz w:val="26"/>
        </w:rPr>
        <w:t>Id</w:t>
      </w:r>
      <w:r>
        <w:rPr>
          <w:rFonts w:ascii="Bookman Old Style" w:hAnsi="Bookman Old Style" w:cs="Arial"/>
          <w:snapToGrid w:val="0"/>
          <w:sz w:val="26"/>
        </w:rPr>
        <w:t xml:space="preserve">; </w:t>
      </w:r>
      <w:r>
        <w:rPr>
          <w:rFonts w:ascii="Bookman Old Style" w:hAnsi="Bookman Old Style" w:cs="Arial"/>
          <w:i/>
          <w:snapToGrid w:val="0"/>
          <w:sz w:val="26"/>
        </w:rPr>
        <w:t>see also Y.J. v. State</w:t>
      </w:r>
      <w:r>
        <w:rPr>
          <w:rFonts w:ascii="Bookman Old Style" w:hAnsi="Bookman Old Style" w:cs="Arial"/>
          <w:snapToGrid w:val="0"/>
          <w:sz w:val="26"/>
        </w:rPr>
        <w:t xml:space="preserve">, 130 P.3d 954 (Alaska App. 2006). </w:t>
      </w:r>
    </w:p>
    <w:p w:rsidR="00E6522D" w:rsidRDefault="00E6522D" w:rsidP="00E6522D">
      <w:pPr>
        <w:spacing w:after="160" w:line="259" w:lineRule="auto"/>
        <w:rPr>
          <w:b/>
        </w:rPr>
      </w:pPr>
    </w:p>
    <w:p w:rsidR="00E6522D" w:rsidRDefault="00E6522D" w:rsidP="00E6522D">
      <w:pPr>
        <w:pStyle w:val="BodyText2"/>
        <w:spacing w:before="0" w:beforeAutospacing="0" w:after="0" w:afterAutospacing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Based on AS 11.81.610, the mental state “knowingly” is included in element (1) of this offense.</w:t>
      </w:r>
    </w:p>
    <w:p w:rsidR="00D66DC9" w:rsidRDefault="00D66DC9"/>
    <w:sectPr w:rsidR="00D66DC9" w:rsidSect="00E6522D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22D" w:rsidRDefault="00E6522D" w:rsidP="00E6522D">
      <w:r>
        <w:separator/>
      </w:r>
    </w:p>
  </w:endnote>
  <w:endnote w:type="continuationSeparator" w:id="0">
    <w:p w:rsidR="00E6522D" w:rsidRDefault="00E6522D" w:rsidP="00E6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22D" w:rsidRDefault="00E6522D" w:rsidP="00E6522D">
      <w:r>
        <w:separator/>
      </w:r>
    </w:p>
  </w:footnote>
  <w:footnote w:type="continuationSeparator" w:id="0">
    <w:p w:rsidR="00E6522D" w:rsidRDefault="00E6522D" w:rsidP="00E6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2D"/>
    <w:rsid w:val="005C59D0"/>
    <w:rsid w:val="00635B2B"/>
    <w:rsid w:val="0086578C"/>
    <w:rsid w:val="00971F4E"/>
    <w:rsid w:val="00D66DC9"/>
    <w:rsid w:val="00E6522D"/>
    <w:rsid w:val="00F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F46B"/>
  <w15:chartTrackingRefBased/>
  <w15:docId w15:val="{41C30A2E-E74D-47E1-8896-EF4CEE04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JItext">
    <w:name w:val="PJItext"/>
    <w:basedOn w:val="Normal"/>
    <w:next w:val="Normal"/>
    <w:rsid w:val="00E6522D"/>
    <w:pPr>
      <w:spacing w:line="480" w:lineRule="auto"/>
      <w:jc w:val="both"/>
    </w:pPr>
    <w:rPr>
      <w:rFonts w:ascii="Bookman Old Style" w:hAnsi="Bookman Old Style" w:cs="Arial"/>
      <w:snapToGrid w:val="0"/>
      <w:sz w:val="26"/>
    </w:rPr>
  </w:style>
  <w:style w:type="paragraph" w:styleId="BodyText2">
    <w:name w:val="Body Text 2"/>
    <w:basedOn w:val="Normal"/>
    <w:link w:val="BodyText2Char"/>
    <w:rsid w:val="00E6522D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E6522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522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52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2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Robinson</dc:creator>
  <cp:keywords/>
  <dc:description/>
  <cp:lastModifiedBy>Hanley Robinson</cp:lastModifiedBy>
  <cp:revision>4</cp:revision>
  <dcterms:created xsi:type="dcterms:W3CDTF">2022-09-30T23:01:00Z</dcterms:created>
  <dcterms:modified xsi:type="dcterms:W3CDTF">2022-10-05T22:31:00Z</dcterms:modified>
</cp:coreProperties>
</file>