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A9" w:rsidRDefault="004871A9" w:rsidP="004871A9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bookmarkStart w:id="0" w:name="_GoBack"/>
      <w:bookmarkEnd w:id="0"/>
      <w:r>
        <w:rPr>
          <w:rFonts w:ascii="Bookman Old Style" w:hAnsi="Bookman Old Style"/>
          <w:color w:val="000000"/>
          <w:sz w:val="26"/>
          <w:u w:val="single"/>
        </w:rPr>
        <w:t xml:space="preserve">         </w:t>
      </w:r>
      <w:r>
        <w:rPr>
          <w:rFonts w:ascii="Bookman Old Style" w:hAnsi="Bookman Old Style"/>
          <w:color w:val="000000"/>
          <w:sz w:val="26"/>
          <w:u w:val="single"/>
        </w:rPr>
        <w:tab/>
      </w:r>
      <w:r>
        <w:rPr>
          <w:rFonts w:ascii="Bookman Old Style" w:hAnsi="Bookman Old Style"/>
          <w:color w:val="000000"/>
          <w:sz w:val="26"/>
          <w:u w:val="single"/>
        </w:rPr>
        <w:tab/>
      </w:r>
      <w:r>
        <w:rPr>
          <w:rFonts w:ascii="Bookman Old Style" w:hAnsi="Bookman Old Style"/>
          <w:color w:val="000000"/>
          <w:sz w:val="26"/>
          <w:u w:val="single"/>
        </w:rPr>
        <w:tab/>
      </w:r>
      <w:r>
        <w:rPr>
          <w:rFonts w:ascii="Bookman Old Style" w:hAnsi="Bookman Old Style"/>
          <w:color w:val="000000"/>
          <w:sz w:val="26"/>
        </w:rPr>
        <w:t>, the defendant in this case, has been charged with the crime of riot.</w:t>
      </w:r>
    </w:p>
    <w:p w:rsidR="004871A9" w:rsidRDefault="004871A9" w:rsidP="004871A9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To prove that the defendant committed this crime, the state must prove beyond a reasonable doubt each of the following elements:</w:t>
      </w:r>
    </w:p>
    <w:p w:rsidR="004871A9" w:rsidRDefault="004871A9" w:rsidP="004871A9">
      <w:pPr>
        <w:tabs>
          <w:tab w:val="left" w:pos="720"/>
        </w:tabs>
        <w:spacing w:line="48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(1)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six</w:t>
      </w:r>
      <w:proofErr w:type="gramEnd"/>
      <w:r>
        <w:rPr>
          <w:rFonts w:ascii="Bookman Old Style" w:hAnsi="Bookman Old Style"/>
          <w:sz w:val="26"/>
        </w:rPr>
        <w:t xml:space="preserve"> or more people were engaged in tumultuous and violent conduct in a public place; </w:t>
      </w:r>
    </w:p>
    <w:p w:rsidR="004871A9" w:rsidRDefault="004871A9" w:rsidP="004871A9">
      <w:pPr>
        <w:tabs>
          <w:tab w:val="left" w:pos="720"/>
        </w:tabs>
        <w:spacing w:line="48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(2)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was one of those six people; </w:t>
      </w:r>
    </w:p>
    <w:p w:rsidR="004871A9" w:rsidRDefault="004871A9" w:rsidP="004871A9">
      <w:pPr>
        <w:tabs>
          <w:tab w:val="left" w:pos="720"/>
        </w:tabs>
        <w:spacing w:line="48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(3)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knowingly engaged in the tumultuous and violent conduct; and  </w:t>
      </w:r>
    </w:p>
    <w:p w:rsidR="004871A9" w:rsidRDefault="004871A9" w:rsidP="004871A9">
      <w:pPr>
        <w:tabs>
          <w:tab w:val="left" w:pos="720"/>
        </w:tabs>
        <w:spacing w:line="48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(4)</w:t>
      </w:r>
      <w:r>
        <w:rPr>
          <w:rFonts w:ascii="Bookman Old Style" w:hAnsi="Bookman Old Style"/>
          <w:sz w:val="26"/>
        </w:rPr>
        <w:tab/>
        <w:t xml:space="preserve">as a result of the defendant’s tumultuous and violent conduct, the defendant recklessly caused, or created a substantial risk of causing, damage to property or physical injury to a person.  </w:t>
      </w:r>
    </w:p>
    <w:p w:rsidR="004871A9" w:rsidRDefault="004871A9" w:rsidP="004871A9">
      <w:pPr>
        <w:spacing w:before="120" w:line="360" w:lineRule="auto"/>
        <w:ind w:right="18"/>
        <w:jc w:val="both"/>
        <w:rPr>
          <w:rFonts w:ascii="Bookman Old Style" w:hAnsi="Bookman Old Style"/>
          <w:color w:val="000000"/>
          <w:sz w:val="26"/>
        </w:rPr>
      </w:pPr>
    </w:p>
    <w:p w:rsidR="004871A9" w:rsidRDefault="004871A9" w:rsidP="004871A9">
      <w:pPr>
        <w:spacing w:before="120" w:line="360" w:lineRule="auto"/>
        <w:ind w:right="18"/>
        <w:jc w:val="both"/>
        <w:rPr>
          <w:rFonts w:ascii="Bookman Old Style" w:hAnsi="Bookman Old Style"/>
          <w:color w:val="000000"/>
          <w:sz w:val="26"/>
        </w:rPr>
      </w:pPr>
    </w:p>
    <w:p w:rsidR="004871A9" w:rsidRDefault="004871A9" w:rsidP="004871A9">
      <w:pPr>
        <w:spacing w:before="120" w:line="360" w:lineRule="auto"/>
        <w:ind w:right="18"/>
        <w:jc w:val="both"/>
        <w:rPr>
          <w:rFonts w:ascii="Bookman Old Style" w:hAnsi="Bookman Old Style"/>
          <w:color w:val="000000"/>
          <w:sz w:val="26"/>
        </w:rPr>
      </w:pPr>
    </w:p>
    <w:p w:rsidR="004871A9" w:rsidRDefault="004871A9" w:rsidP="004871A9">
      <w:pPr>
        <w:pStyle w:val="Heading1"/>
      </w:pPr>
      <w:r>
        <w:t>USE NOTE</w:t>
      </w:r>
    </w:p>
    <w:p w:rsidR="004871A9" w:rsidRDefault="004871A9" w:rsidP="004871A9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4871A9" w:rsidRDefault="004871A9" w:rsidP="004871A9">
      <w:pPr>
        <w:pStyle w:val="BodyText"/>
        <w:spacing w:line="240" w:lineRule="auto"/>
        <w:ind w:left="1440"/>
      </w:pPr>
      <w:r>
        <w:t>“</w:t>
      </w:r>
      <w:proofErr w:type="gramStart"/>
      <w:r>
        <w:t>knowingly</w:t>
      </w:r>
      <w:proofErr w:type="gramEnd"/>
      <w:r>
        <w:t>” – 11.81.900(a)(2)</w:t>
      </w:r>
    </w:p>
    <w:p w:rsidR="004871A9" w:rsidRDefault="004871A9" w:rsidP="004871A9">
      <w:pPr>
        <w:pStyle w:val="BodyText"/>
        <w:spacing w:line="240" w:lineRule="auto"/>
        <w:ind w:left="1440"/>
      </w:pPr>
      <w:r>
        <w:t>"</w:t>
      </w:r>
      <w:proofErr w:type="gramStart"/>
      <w:r>
        <w:t>physical</w:t>
      </w:r>
      <w:proofErr w:type="gramEnd"/>
      <w:r>
        <w:t xml:space="preserve"> injury" – 11.81.900(b)</w:t>
      </w:r>
    </w:p>
    <w:p w:rsidR="004871A9" w:rsidRDefault="004871A9" w:rsidP="004871A9">
      <w:pPr>
        <w:pStyle w:val="BodyText"/>
        <w:spacing w:line="240" w:lineRule="auto"/>
        <w:ind w:left="1440"/>
      </w:pPr>
      <w:r>
        <w:t>"</w:t>
      </w:r>
      <w:proofErr w:type="gramStart"/>
      <w:r>
        <w:t>property</w:t>
      </w:r>
      <w:proofErr w:type="gramEnd"/>
      <w:r>
        <w:t>" – 11.81.900(b)</w:t>
      </w:r>
    </w:p>
    <w:p w:rsidR="004871A9" w:rsidRDefault="004871A9" w:rsidP="004871A9">
      <w:pPr>
        <w:pStyle w:val="BodyText"/>
        <w:spacing w:line="240" w:lineRule="auto"/>
        <w:ind w:left="1440"/>
      </w:pPr>
      <w:r>
        <w:t>"</w:t>
      </w:r>
      <w:proofErr w:type="gramStart"/>
      <w:r>
        <w:t>public</w:t>
      </w:r>
      <w:proofErr w:type="gramEnd"/>
      <w:r>
        <w:t xml:space="preserve"> place" – 11.81.900(b)</w:t>
      </w:r>
    </w:p>
    <w:p w:rsidR="004871A9" w:rsidRDefault="004871A9" w:rsidP="004871A9">
      <w:pPr>
        <w:pStyle w:val="BodyText"/>
        <w:spacing w:line="240" w:lineRule="auto"/>
        <w:ind w:left="1440"/>
      </w:pPr>
      <w:r>
        <w:t>“</w:t>
      </w:r>
      <w:proofErr w:type="gramStart"/>
      <w:r>
        <w:t>recklessly</w:t>
      </w:r>
      <w:proofErr w:type="gramEnd"/>
      <w:r>
        <w:t>” – 11.81.900(a)(3)</w:t>
      </w:r>
    </w:p>
    <w:p w:rsidR="004871A9" w:rsidRDefault="004871A9" w:rsidP="004871A9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lastRenderedPageBreak/>
        <w:t xml:space="preserve">The culpable mental states of “knowingly” and “recklessly” have been added to elements (3) and (4), respectively, pursuant to AS 11.81.610(b).  </w:t>
      </w:r>
      <w:r>
        <w:rPr>
          <w:rFonts w:ascii="Bookman Old Style" w:hAnsi="Bookman Old Style"/>
          <w:i/>
          <w:color w:val="000000"/>
          <w:sz w:val="26"/>
        </w:rPr>
        <w:t>See</w:t>
      </w:r>
      <w:r>
        <w:rPr>
          <w:rFonts w:ascii="Bookman Old Style" w:hAnsi="Bookman Old Style"/>
          <w:color w:val="000000"/>
          <w:sz w:val="26"/>
        </w:rPr>
        <w:t xml:space="preserve"> Commentary, Senate Journal Supp. No. 47, at 93 (June 12, 1978).  </w:t>
      </w:r>
    </w:p>
    <w:p w:rsidR="004871A9" w:rsidRDefault="004871A9" w:rsidP="004871A9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4871A9" w:rsidRPr="004D6F4F" w:rsidRDefault="004871A9" w:rsidP="004871A9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Riot requires a defendant’s conduct to be both tumultuous </w:t>
      </w:r>
      <w:r>
        <w:rPr>
          <w:rFonts w:ascii="Bookman Old Style" w:hAnsi="Bookman Old Style"/>
          <w:i/>
          <w:color w:val="000000"/>
          <w:sz w:val="26"/>
        </w:rPr>
        <w:t>and</w:t>
      </w:r>
      <w:r>
        <w:rPr>
          <w:rFonts w:ascii="Bookman Old Style" w:hAnsi="Bookman Old Style"/>
          <w:color w:val="000000"/>
          <w:sz w:val="26"/>
        </w:rPr>
        <w:t xml:space="preserve"> violent; “[b]</w:t>
      </w:r>
      <w:proofErr w:type="spellStart"/>
      <w:r>
        <w:rPr>
          <w:rFonts w:ascii="Bookman Old Style" w:hAnsi="Bookman Old Style"/>
          <w:color w:val="000000"/>
          <w:sz w:val="26"/>
        </w:rPr>
        <w:t>ehavior</w:t>
      </w:r>
      <w:proofErr w:type="spellEnd"/>
      <w:r>
        <w:rPr>
          <w:rFonts w:ascii="Bookman Old Style" w:hAnsi="Bookman Old Style"/>
          <w:color w:val="000000"/>
          <w:sz w:val="26"/>
        </w:rPr>
        <w:t xml:space="preserve"> that is merely tumultuous would be insufficient to sustain a conviction under the statute.”  </w:t>
      </w:r>
      <w:r>
        <w:rPr>
          <w:rFonts w:ascii="Bookman Old Style" w:hAnsi="Bookman Old Style"/>
          <w:i/>
          <w:color w:val="000000"/>
          <w:sz w:val="26"/>
        </w:rPr>
        <w:t>See id</w:t>
      </w:r>
      <w:r>
        <w:rPr>
          <w:rFonts w:ascii="Bookman Old Style" w:hAnsi="Bookman Old Style"/>
          <w:color w:val="000000"/>
          <w:sz w:val="26"/>
        </w:rPr>
        <w:t xml:space="preserve">.; </w:t>
      </w:r>
      <w:r>
        <w:rPr>
          <w:rFonts w:ascii="Bookman Old Style" w:hAnsi="Bookman Old Style"/>
          <w:i/>
          <w:color w:val="000000"/>
          <w:sz w:val="26"/>
        </w:rPr>
        <w:t>see also Dawson v. State</w:t>
      </w:r>
      <w:r>
        <w:rPr>
          <w:rFonts w:ascii="Bookman Old Style" w:hAnsi="Bookman Old Style"/>
          <w:color w:val="000000"/>
          <w:sz w:val="26"/>
        </w:rPr>
        <w:t xml:space="preserve">, 264 P.3d 851, </w:t>
      </w:r>
      <w:proofErr w:type="gramStart"/>
      <w:r>
        <w:rPr>
          <w:rFonts w:ascii="Bookman Old Style" w:hAnsi="Bookman Old Style"/>
          <w:color w:val="000000"/>
          <w:sz w:val="26"/>
        </w:rPr>
        <w:t>856 n.12 (Alaska App. 2011)</w:t>
      </w:r>
      <w:proofErr w:type="gramEnd"/>
      <w:r>
        <w:rPr>
          <w:rFonts w:ascii="Bookman Old Style" w:hAnsi="Bookman Old Style"/>
          <w:color w:val="000000"/>
          <w:sz w:val="26"/>
        </w:rPr>
        <w:t>.</w:t>
      </w:r>
    </w:p>
    <w:p w:rsidR="009A195D" w:rsidRDefault="00651437"/>
    <w:sectPr w:rsidR="009A195D" w:rsidSect="00206ECB">
      <w:headerReference w:type="default" r:id="rId7"/>
      <w:headerReference w:type="first" r:id="rId8"/>
      <w:pgSz w:w="12240" w:h="15840" w:code="1"/>
      <w:pgMar w:top="2880" w:right="1354" w:bottom="1440" w:left="1440" w:header="720" w:footer="720" w:gutter="43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A9" w:rsidRDefault="004871A9" w:rsidP="004871A9">
      <w:r>
        <w:separator/>
      </w:r>
    </w:p>
  </w:endnote>
  <w:endnote w:type="continuationSeparator" w:id="0">
    <w:p w:rsidR="004871A9" w:rsidRDefault="004871A9" w:rsidP="0048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A9" w:rsidRDefault="004871A9" w:rsidP="004871A9">
      <w:r>
        <w:separator/>
      </w:r>
    </w:p>
  </w:footnote>
  <w:footnote w:type="continuationSeparator" w:id="0">
    <w:p w:rsidR="004871A9" w:rsidRDefault="004871A9" w:rsidP="00487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9E" w:rsidRDefault="004871A9">
    <w:pPr>
      <w:pStyle w:val="Heading1"/>
      <w:tabs>
        <w:tab w:val="right" w:pos="9000"/>
      </w:tabs>
      <w:spacing w:before="0" w:after="0"/>
      <w:jc w:val="left"/>
      <w:rPr>
        <w:sz w:val="24"/>
      </w:rPr>
    </w:pPr>
    <w:r>
      <w:rPr>
        <w:sz w:val="24"/>
      </w:rPr>
      <w:t>RIOT</w:t>
    </w:r>
    <w:r>
      <w:rPr>
        <w:sz w:val="24"/>
      </w:rPr>
      <w:tab/>
      <w:t>11.61.100</w:t>
    </w:r>
  </w:p>
  <w:p w:rsidR="0048549E" w:rsidRDefault="00651437">
    <w:pPr>
      <w:pStyle w:val="Heading2"/>
    </w:pPr>
    <w:r>
      <w:t>Revised 2015</w:t>
    </w:r>
  </w:p>
  <w:p w:rsidR="0048549E" w:rsidRPr="006A733B" w:rsidRDefault="004871A9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6"/>
      </w:rPr>
    </w:pPr>
    <w:r w:rsidRPr="006A733B">
      <w:rPr>
        <w:rFonts w:ascii="Bookman Old Style" w:hAnsi="Bookman Old Style"/>
        <w:b/>
        <w:snapToGrid w:val="0"/>
        <w:sz w:val="26"/>
      </w:rPr>
      <w:t xml:space="preserve">Page </w:t>
    </w:r>
    <w:r w:rsidRPr="006A733B">
      <w:rPr>
        <w:rFonts w:ascii="Bookman Old Style" w:hAnsi="Bookman Old Style"/>
        <w:b/>
        <w:snapToGrid w:val="0"/>
        <w:sz w:val="26"/>
      </w:rPr>
      <w:fldChar w:fldCharType="begin"/>
    </w:r>
    <w:r w:rsidRPr="006A733B">
      <w:rPr>
        <w:rFonts w:ascii="Bookman Old Style" w:hAnsi="Bookman Old Style"/>
        <w:b/>
        <w:snapToGrid w:val="0"/>
        <w:sz w:val="26"/>
      </w:rPr>
      <w:instrText xml:space="preserve"> PAGE </w:instrText>
    </w:r>
    <w:r w:rsidRPr="006A733B">
      <w:rPr>
        <w:rFonts w:ascii="Bookman Old Style" w:hAnsi="Bookman Old Style"/>
        <w:b/>
        <w:snapToGrid w:val="0"/>
        <w:sz w:val="26"/>
      </w:rPr>
      <w:fldChar w:fldCharType="separate"/>
    </w:r>
    <w:r w:rsidR="00651437">
      <w:rPr>
        <w:rFonts w:ascii="Bookman Old Style" w:hAnsi="Bookman Old Style"/>
        <w:b/>
        <w:noProof/>
        <w:snapToGrid w:val="0"/>
        <w:sz w:val="26"/>
      </w:rPr>
      <w:t>1</w:t>
    </w:r>
    <w:r w:rsidRPr="006A733B">
      <w:rPr>
        <w:rFonts w:ascii="Bookman Old Style" w:hAnsi="Bookman Old Style"/>
        <w:b/>
        <w:snapToGrid w:val="0"/>
        <w:sz w:val="26"/>
      </w:rPr>
      <w:fldChar w:fldCharType="end"/>
    </w:r>
    <w:r w:rsidRPr="006A733B">
      <w:rPr>
        <w:rFonts w:ascii="Bookman Old Style" w:hAnsi="Bookman Old Style"/>
        <w:b/>
        <w:snapToGrid w:val="0"/>
        <w:sz w:val="26"/>
      </w:rPr>
      <w:t xml:space="preserve"> of </w:t>
    </w:r>
    <w:r w:rsidRPr="006A733B">
      <w:rPr>
        <w:rFonts w:ascii="Bookman Old Style" w:hAnsi="Bookman Old Style"/>
        <w:b/>
        <w:snapToGrid w:val="0"/>
        <w:sz w:val="26"/>
      </w:rPr>
      <w:fldChar w:fldCharType="begin"/>
    </w:r>
    <w:r w:rsidRPr="006A733B">
      <w:rPr>
        <w:rFonts w:ascii="Bookman Old Style" w:hAnsi="Bookman Old Style"/>
        <w:b/>
        <w:snapToGrid w:val="0"/>
        <w:sz w:val="26"/>
      </w:rPr>
      <w:instrText xml:space="preserve"> NUMPAGES </w:instrText>
    </w:r>
    <w:r w:rsidRPr="006A733B">
      <w:rPr>
        <w:rFonts w:ascii="Bookman Old Style" w:hAnsi="Bookman Old Style"/>
        <w:b/>
        <w:snapToGrid w:val="0"/>
        <w:sz w:val="26"/>
      </w:rPr>
      <w:fldChar w:fldCharType="separate"/>
    </w:r>
    <w:r w:rsidR="00651437">
      <w:rPr>
        <w:rFonts w:ascii="Bookman Old Style" w:hAnsi="Bookman Old Style"/>
        <w:b/>
        <w:noProof/>
        <w:snapToGrid w:val="0"/>
        <w:sz w:val="26"/>
      </w:rPr>
      <w:t>2</w:t>
    </w:r>
    <w:r w:rsidRPr="006A733B">
      <w:rPr>
        <w:rFonts w:ascii="Bookman Old Style" w:hAnsi="Bookman Old Style"/>
        <w:b/>
        <w:snapToGrid w:val="0"/>
        <w:sz w:val="26"/>
      </w:rPr>
      <w:fldChar w:fldCharType="end"/>
    </w:r>
  </w:p>
  <w:p w:rsidR="0048549E" w:rsidRDefault="004871A9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rPr>
        <w:rFonts w:ascii="Bookman Old Style" w:hAnsi="Bookman Old Style"/>
        <w:b/>
        <w:noProof/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25C48A" wp14:editId="47F1BB39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5669280" cy="508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4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BHwIAADoEAAAOAAAAZHJzL2Uyb0RvYy54bWysU8Gu2yAQvFfqPyDfE9upk5dYcZ4qO+nl&#10;tY2U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" o:allowincell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9E" w:rsidRDefault="004871A9">
    <w:pPr>
      <w:tabs>
        <w:tab w:val="right" w:pos="8910"/>
      </w:tabs>
      <w:rPr>
        <w:rFonts w:ascii="Courier New" w:hAnsi="Courier New"/>
        <w:sz w:val="24"/>
      </w:rPr>
    </w:pPr>
    <w:r>
      <w:rPr>
        <w:rFonts w:ascii="Courier New" w:hAnsi="Courier New"/>
        <w:sz w:val="24"/>
      </w:rPr>
      <w:t>81.430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A9"/>
    <w:rsid w:val="004871A9"/>
    <w:rsid w:val="00651437"/>
    <w:rsid w:val="006A733B"/>
    <w:rsid w:val="00931583"/>
    <w:rsid w:val="009672D5"/>
    <w:rsid w:val="00A72C5F"/>
    <w:rsid w:val="00DE0678"/>
    <w:rsid w:val="00F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871A9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color w:val="000000"/>
      <w:sz w:val="26"/>
    </w:rPr>
  </w:style>
  <w:style w:type="paragraph" w:styleId="Heading2">
    <w:name w:val="heading 2"/>
    <w:basedOn w:val="Normal"/>
    <w:next w:val="Normal"/>
    <w:link w:val="Heading2Char"/>
    <w:qFormat/>
    <w:rsid w:val="004871A9"/>
    <w:pPr>
      <w:keepNext/>
      <w:widowControl w:val="0"/>
      <w:outlineLvl w:val="1"/>
    </w:pPr>
    <w:rPr>
      <w:rFonts w:ascii="Bookman Old Style" w:hAnsi="Bookman Old Style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1A9"/>
    <w:rPr>
      <w:rFonts w:ascii="Bookman Old Style" w:eastAsia="Times New Roman" w:hAnsi="Bookman Old Style" w:cs="Times New Roman"/>
      <w:b/>
      <w:color w:val="000000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4871A9"/>
    <w:rPr>
      <w:rFonts w:ascii="Bookman Old Style" w:eastAsia="Times New Roman" w:hAnsi="Bookman Old Style" w:cs="Times New Roman"/>
      <w:b/>
      <w:snapToGrid w:val="0"/>
      <w:sz w:val="24"/>
      <w:szCs w:val="20"/>
    </w:rPr>
  </w:style>
  <w:style w:type="paragraph" w:styleId="Header">
    <w:name w:val="header"/>
    <w:basedOn w:val="Normal"/>
    <w:link w:val="HeaderChar"/>
    <w:rsid w:val="004871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71A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871A9"/>
    <w:pPr>
      <w:widowControl w:val="0"/>
      <w:spacing w:line="480" w:lineRule="auto"/>
      <w:jc w:val="both"/>
    </w:pPr>
    <w:rPr>
      <w:rFonts w:ascii="Bookman Old Style" w:hAnsi="Bookman Old Style"/>
      <w:snapToGrid w:val="0"/>
      <w:sz w:val="26"/>
    </w:rPr>
  </w:style>
  <w:style w:type="character" w:customStyle="1" w:styleId="BodyTextChar">
    <w:name w:val="Body Text Char"/>
    <w:basedOn w:val="DefaultParagraphFont"/>
    <w:link w:val="BodyText"/>
    <w:rsid w:val="004871A9"/>
    <w:rPr>
      <w:rFonts w:ascii="Bookman Old Style" w:eastAsia="Times New Roman" w:hAnsi="Bookman Old Style" w:cs="Times New Roman"/>
      <w:snapToGrid w:val="0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487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1A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871A9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color w:val="000000"/>
      <w:sz w:val="26"/>
    </w:rPr>
  </w:style>
  <w:style w:type="paragraph" w:styleId="Heading2">
    <w:name w:val="heading 2"/>
    <w:basedOn w:val="Normal"/>
    <w:next w:val="Normal"/>
    <w:link w:val="Heading2Char"/>
    <w:qFormat/>
    <w:rsid w:val="004871A9"/>
    <w:pPr>
      <w:keepNext/>
      <w:widowControl w:val="0"/>
      <w:outlineLvl w:val="1"/>
    </w:pPr>
    <w:rPr>
      <w:rFonts w:ascii="Bookman Old Style" w:hAnsi="Bookman Old Style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1A9"/>
    <w:rPr>
      <w:rFonts w:ascii="Bookman Old Style" w:eastAsia="Times New Roman" w:hAnsi="Bookman Old Style" w:cs="Times New Roman"/>
      <w:b/>
      <w:color w:val="000000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4871A9"/>
    <w:rPr>
      <w:rFonts w:ascii="Bookman Old Style" w:eastAsia="Times New Roman" w:hAnsi="Bookman Old Style" w:cs="Times New Roman"/>
      <w:b/>
      <w:snapToGrid w:val="0"/>
      <w:sz w:val="24"/>
      <w:szCs w:val="20"/>
    </w:rPr>
  </w:style>
  <w:style w:type="paragraph" w:styleId="Header">
    <w:name w:val="header"/>
    <w:basedOn w:val="Normal"/>
    <w:link w:val="HeaderChar"/>
    <w:rsid w:val="004871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71A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871A9"/>
    <w:pPr>
      <w:widowControl w:val="0"/>
      <w:spacing w:line="480" w:lineRule="auto"/>
      <w:jc w:val="both"/>
    </w:pPr>
    <w:rPr>
      <w:rFonts w:ascii="Bookman Old Style" w:hAnsi="Bookman Old Style"/>
      <w:snapToGrid w:val="0"/>
      <w:sz w:val="26"/>
    </w:rPr>
  </w:style>
  <w:style w:type="character" w:customStyle="1" w:styleId="BodyTextChar">
    <w:name w:val="Body Text Char"/>
    <w:basedOn w:val="DefaultParagraphFont"/>
    <w:link w:val="BodyText"/>
    <w:rsid w:val="004871A9"/>
    <w:rPr>
      <w:rFonts w:ascii="Bookman Old Style" w:eastAsia="Times New Roman" w:hAnsi="Bookman Old Style" w:cs="Times New Roman"/>
      <w:snapToGrid w:val="0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487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1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Department of Administration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McFarland</dc:creator>
  <cp:lastModifiedBy>Robert Polley</cp:lastModifiedBy>
  <cp:revision>4</cp:revision>
  <dcterms:created xsi:type="dcterms:W3CDTF">2015-02-17T17:41:00Z</dcterms:created>
  <dcterms:modified xsi:type="dcterms:W3CDTF">2015-08-09T19:42:00Z</dcterms:modified>
</cp:coreProperties>
</file>