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101F0">
      <w:pPr>
        <w:widowControl/>
        <w:suppressAutoHyphens/>
        <w:spacing w:before="120" w:after="120" w:line="360" w:lineRule="auto"/>
        <w:jc w:val="both"/>
        <w:rPr>
          <w:rFonts w:ascii="Bookman Old Style" w:hAnsi="Bookman Old Style"/>
          <w:b/>
          <w:spacing w:val="-3"/>
          <w:sz w:val="26"/>
        </w:rPr>
      </w:pPr>
      <w:bookmarkStart w:id="0" w:name="_GoBack"/>
      <w:bookmarkEnd w:id="0"/>
      <w:r>
        <w:rPr>
          <w:rFonts w:ascii="Bookman Old Style" w:hAnsi="Bookman Old Style"/>
          <w:b/>
          <w:spacing w:val="-3"/>
          <w:sz w:val="26"/>
        </w:rPr>
        <w:t xml:space="preserve">1.10 </w:t>
      </w:r>
      <w:r>
        <w:rPr>
          <w:rFonts w:ascii="Bookman Old Style" w:hAnsi="Bookman Old Style"/>
          <w:b/>
          <w:spacing w:val="-3"/>
          <w:sz w:val="26"/>
        </w:rPr>
        <w:tab/>
      </w:r>
      <w:r>
        <w:rPr>
          <w:rFonts w:ascii="Bookman Old Style" w:hAnsi="Bookman Old Style"/>
          <w:b/>
          <w:spacing w:val="-3"/>
          <w:sz w:val="26"/>
        </w:rPr>
        <w:tab/>
        <w:t>RELATIONSHIP OF EXHIBITS TO TESTIMONY</w:t>
      </w:r>
    </w:p>
    <w:p w:rsidR="00000000" w:rsidRDefault="00A101F0">
      <w:pPr>
        <w:widowControl/>
        <w:suppressAutoHyphens/>
        <w:spacing w:before="120" w:after="120" w:line="360" w:lineRule="auto"/>
        <w:jc w:val="both"/>
        <w:rPr>
          <w:rFonts w:ascii="Bookman Old Style" w:hAnsi="Bookman Old Style"/>
          <w:spacing w:val="-3"/>
          <w:sz w:val="26"/>
        </w:rPr>
      </w:pPr>
    </w:p>
    <w:p w:rsidR="00000000" w:rsidRDefault="00A101F0">
      <w:pPr>
        <w:pStyle w:val="BodyText"/>
        <w:spacing w:before="120" w:after="120" w:line="360" w:lineRule="auto"/>
        <w:ind w:firstLine="720"/>
        <w:rPr>
          <w:rFonts w:ascii="Bookman Old Style" w:hAnsi="Bookman Old Style"/>
          <w:sz w:val="26"/>
        </w:rPr>
      </w:pPr>
      <w:r>
        <w:rPr>
          <w:rFonts w:ascii="Bookman Old Style" w:hAnsi="Bookman Old Style"/>
          <w:sz w:val="26"/>
        </w:rPr>
        <w:t xml:space="preserve">     </w:t>
      </w:r>
      <w:r>
        <w:rPr>
          <w:rFonts w:ascii="Bookman Old Style" w:hAnsi="Bookman Old Style"/>
          <w:sz w:val="26"/>
        </w:rPr>
        <w:tab/>
        <w:t>You may have exhibits, such as documents, pictures, or objects, to consider as evidence.  In deciding how much to rely on an exhibit in reaching a verdict, you should examine its contents and consider how</w:t>
      </w:r>
      <w:r>
        <w:rPr>
          <w:rFonts w:ascii="Bookman Old Style" w:hAnsi="Bookman Old Style"/>
          <w:sz w:val="26"/>
        </w:rPr>
        <w:t xml:space="preserve"> it relates to other evidence in the case.  Keep in mind that exhibits are not necessarily better evidence than testimony from witnesses.</w:t>
      </w:r>
    </w:p>
    <w:p w:rsidR="00000000" w:rsidRDefault="00A101F0">
      <w:pPr>
        <w:pStyle w:val="BodyText"/>
        <w:spacing w:before="120" w:after="120" w:line="360" w:lineRule="auto"/>
        <w:ind w:firstLine="720"/>
        <w:rPr>
          <w:rFonts w:ascii="Bookman Old Style" w:hAnsi="Bookman Old Style"/>
          <w:sz w:val="26"/>
        </w:rPr>
      </w:pPr>
    </w:p>
    <w:p w:rsidR="00000000" w:rsidRDefault="00A101F0">
      <w:pPr>
        <w:widowControl/>
        <w:tabs>
          <w:tab w:val="center" w:pos="4680"/>
        </w:tabs>
        <w:suppressAutoHyphens/>
        <w:jc w:val="both"/>
        <w:rPr>
          <w:rFonts w:ascii="Bookman Old Style" w:hAnsi="Bookman Old Style"/>
          <w:spacing w:val="-3"/>
          <w:sz w:val="26"/>
        </w:rPr>
      </w:pPr>
      <w:r>
        <w:rPr>
          <w:rFonts w:ascii="Bookman Old Style" w:hAnsi="Bookman Old Style"/>
          <w:spacing w:val="-3"/>
          <w:sz w:val="26"/>
        </w:rPr>
        <w:tab/>
      </w:r>
      <w:r>
        <w:rPr>
          <w:rFonts w:ascii="Bookman Old Style" w:hAnsi="Bookman Old Style"/>
          <w:spacing w:val="-3"/>
          <w:sz w:val="26"/>
          <w:u w:val="single"/>
        </w:rPr>
        <w:t>Use Note</w:t>
      </w:r>
    </w:p>
    <w:p w:rsidR="00000000" w:rsidRDefault="00A101F0">
      <w:pPr>
        <w:widowControl/>
        <w:tabs>
          <w:tab w:val="left" w:pos="-720"/>
        </w:tabs>
        <w:suppressAutoHyphens/>
        <w:jc w:val="both"/>
        <w:rPr>
          <w:rFonts w:ascii="Bookman Old Style" w:hAnsi="Bookman Old Style"/>
          <w:spacing w:val="-3"/>
          <w:sz w:val="26"/>
        </w:rPr>
      </w:pPr>
    </w:p>
    <w:p w:rsidR="00000000" w:rsidRDefault="00A101F0">
      <w:pPr>
        <w:widowControl/>
        <w:tabs>
          <w:tab w:val="left" w:pos="-720"/>
        </w:tabs>
        <w:suppressAutoHyphens/>
        <w:jc w:val="both"/>
        <w:rPr>
          <w:rFonts w:ascii="Bookman Old Style" w:hAnsi="Bookman Old Style"/>
          <w:spacing w:val="-3"/>
          <w:sz w:val="26"/>
        </w:rPr>
      </w:pPr>
      <w:r>
        <w:rPr>
          <w:rFonts w:ascii="Bookman Old Style" w:hAnsi="Bookman Old Style"/>
          <w:spacing w:val="-3"/>
          <w:sz w:val="26"/>
        </w:rPr>
        <w:t>Several of the Alaska Rules of Evidence imply that unless care is taken, exhibits may carry undue weight w</w:t>
      </w:r>
      <w:r>
        <w:rPr>
          <w:rFonts w:ascii="Bookman Old Style" w:hAnsi="Bookman Old Style"/>
          <w:spacing w:val="-3"/>
          <w:sz w:val="26"/>
        </w:rPr>
        <w:t xml:space="preserve">ith a jury. </w:t>
      </w:r>
      <w:r>
        <w:rPr>
          <w:rFonts w:ascii="Bookman Old Style" w:hAnsi="Bookman Old Style"/>
          <w:spacing w:val="-3"/>
          <w:sz w:val="26"/>
          <w:u w:val="single"/>
        </w:rPr>
        <w:t>See</w:t>
      </w:r>
      <w:r>
        <w:rPr>
          <w:rFonts w:ascii="Bookman Old Style" w:hAnsi="Bookman Old Style"/>
          <w:spacing w:val="-3"/>
          <w:sz w:val="26"/>
        </w:rPr>
        <w:t>, e.g., Rules 106, 803(5), 803(18). This instruction is intended to make clear that exhibits are not necessarily better evidence than oral testimony.  The substance of this instruction is repeated in Closing Instruction 2.17.</w:t>
      </w:r>
    </w:p>
    <w:p w:rsidR="00000000" w:rsidRDefault="00A101F0">
      <w:pPr>
        <w:widowControl/>
        <w:tabs>
          <w:tab w:val="left" w:pos="-720"/>
        </w:tabs>
        <w:suppressAutoHyphens/>
        <w:jc w:val="both"/>
        <w:rPr>
          <w:rFonts w:ascii="Bookman Old Style" w:hAnsi="Bookman Old Style"/>
          <w:spacing w:val="-3"/>
          <w:sz w:val="26"/>
        </w:rPr>
      </w:pPr>
    </w:p>
    <w:p w:rsidR="00000000" w:rsidRDefault="00A101F0">
      <w:pPr>
        <w:widowControl/>
        <w:tabs>
          <w:tab w:val="left" w:pos="-720"/>
        </w:tabs>
        <w:suppressAutoHyphens/>
        <w:jc w:val="both"/>
        <w:rPr>
          <w:rFonts w:ascii="Bookman Old Style" w:hAnsi="Bookman Old Style"/>
          <w:spacing w:val="-3"/>
          <w:sz w:val="26"/>
        </w:rPr>
      </w:pPr>
      <w:r>
        <w:rPr>
          <w:rFonts w:ascii="Bookman Old Style" w:hAnsi="Bookman Old Style"/>
          <w:spacing w:val="-3"/>
          <w:sz w:val="26"/>
        </w:rPr>
        <w:t>If no exhibits</w:t>
      </w:r>
      <w:r>
        <w:rPr>
          <w:rFonts w:ascii="Bookman Old Style" w:hAnsi="Bookman Old Style"/>
          <w:spacing w:val="-3"/>
          <w:sz w:val="26"/>
        </w:rPr>
        <w:t xml:space="preserve"> are to be offered, this instruction can be deleted.</w:t>
      </w:r>
    </w:p>
    <w:p w:rsidR="00000000" w:rsidRDefault="00A101F0">
      <w:pPr>
        <w:widowControl/>
        <w:tabs>
          <w:tab w:val="left" w:pos="-720"/>
        </w:tabs>
        <w:suppressAutoHyphens/>
        <w:jc w:val="both"/>
        <w:rPr>
          <w:rFonts w:ascii="Bookman Old Style" w:hAnsi="Bookman Old Style"/>
          <w:spacing w:val="-3"/>
          <w:sz w:val="26"/>
        </w:rPr>
      </w:pPr>
    </w:p>
    <w:p w:rsidR="00000000" w:rsidRDefault="00A101F0">
      <w:pPr>
        <w:widowControl/>
        <w:tabs>
          <w:tab w:val="center" w:pos="4680"/>
        </w:tabs>
        <w:suppressAutoHyphens/>
        <w:jc w:val="both"/>
        <w:rPr>
          <w:rFonts w:ascii="Bookman Old Style" w:hAnsi="Bookman Old Style"/>
          <w:spacing w:val="-3"/>
          <w:sz w:val="26"/>
        </w:rPr>
      </w:pPr>
      <w:r>
        <w:rPr>
          <w:rFonts w:ascii="Bookman Old Style" w:hAnsi="Bookman Old Style"/>
          <w:spacing w:val="-3"/>
          <w:sz w:val="26"/>
        </w:rPr>
        <w:tab/>
      </w:r>
      <w:r>
        <w:rPr>
          <w:rFonts w:ascii="Bookman Old Style" w:hAnsi="Bookman Old Style"/>
          <w:spacing w:val="-3"/>
          <w:sz w:val="26"/>
          <w:u w:val="single"/>
        </w:rPr>
        <w:t>Comment</w:t>
      </w:r>
    </w:p>
    <w:p w:rsidR="00000000" w:rsidRDefault="00A101F0">
      <w:pPr>
        <w:widowControl/>
        <w:tabs>
          <w:tab w:val="left" w:pos="-720"/>
        </w:tabs>
        <w:suppressAutoHyphens/>
        <w:jc w:val="both"/>
        <w:rPr>
          <w:rFonts w:ascii="Bookman Old Style" w:hAnsi="Bookman Old Style"/>
          <w:spacing w:val="-3"/>
          <w:sz w:val="26"/>
        </w:rPr>
      </w:pPr>
    </w:p>
    <w:p w:rsidR="00000000" w:rsidRDefault="00A101F0">
      <w:pPr>
        <w:pStyle w:val="BodyText"/>
        <w:tabs>
          <w:tab w:val="left" w:pos="-720"/>
        </w:tabs>
        <w:spacing w:line="240" w:lineRule="auto"/>
        <w:rPr>
          <w:rFonts w:ascii="Bookman Old Style" w:hAnsi="Bookman Old Style"/>
          <w:sz w:val="26"/>
        </w:rPr>
      </w:pPr>
      <w:r>
        <w:rPr>
          <w:rFonts w:ascii="Bookman Old Style" w:hAnsi="Bookman Old Style"/>
          <w:sz w:val="26"/>
        </w:rPr>
        <w:t>It is not necessary for the jury to be familiar with the legal terminology to deal with testimonial and real evidence. But it may be important for the jury to know that evidence is not necessa</w:t>
      </w:r>
      <w:r>
        <w:rPr>
          <w:rFonts w:ascii="Bookman Old Style" w:hAnsi="Bookman Old Style"/>
          <w:sz w:val="26"/>
        </w:rPr>
        <w:t xml:space="preserve">rily more valuable because it takes the form of an exhibit that may be given to the jury for its inspection. </w:t>
      </w:r>
    </w:p>
    <w:p w:rsidR="00000000" w:rsidRDefault="00A101F0">
      <w:pPr>
        <w:widowControl/>
        <w:tabs>
          <w:tab w:val="left" w:pos="-720"/>
        </w:tabs>
        <w:suppressAutoHyphens/>
        <w:jc w:val="both"/>
        <w:rPr>
          <w:rFonts w:ascii="Bookman Old Style" w:hAnsi="Bookman Old Style"/>
          <w:spacing w:val="-3"/>
          <w:sz w:val="26"/>
        </w:rPr>
      </w:pPr>
    </w:p>
    <w:sectPr w:rsidR="00000000">
      <w:footerReference w:type="even" r:id="rId7"/>
      <w:footerReference w:type="default" r:id="rId8"/>
      <w:endnotePr>
        <w:numFmt w:val="decimal"/>
      </w:endnotePr>
      <w:pgSz w:w="12240" w:h="15840"/>
      <w:pgMar w:top="1440" w:right="1440" w:bottom="144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101F0">
      <w:pPr>
        <w:spacing w:line="20" w:lineRule="exact"/>
      </w:pPr>
    </w:p>
  </w:endnote>
  <w:endnote w:type="continuationSeparator" w:id="0">
    <w:p w:rsidR="00000000" w:rsidRDefault="00A101F0">
      <w:r>
        <w:t xml:space="preserve"> </w:t>
      </w:r>
    </w:p>
  </w:endnote>
  <w:endnote w:type="continuationNotice" w:id="1">
    <w:p w:rsidR="00000000" w:rsidRDefault="00A101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10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A101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A101F0">
    <w:pPr>
      <w:pStyle w:val="Footer"/>
      <w:framePr w:wrap="around" w:vAnchor="text" w:hAnchor="margin" w:xAlign="right" w:y="1"/>
      <w:rPr>
        <w:rStyle w:val="PageNumber"/>
        <w:rFonts w:ascii="CG Times" w:hAnsi="CG Times"/>
      </w:rPr>
    </w:pPr>
  </w:p>
  <w:p w:rsidR="00000000" w:rsidRDefault="00A101F0">
    <w:pPr>
      <w:pStyle w:val="Footer"/>
      <w:tabs>
        <w:tab w:val="clear" w:pos="8640"/>
        <w:tab w:val="right" w:pos="9360"/>
      </w:tabs>
      <w:ind w:right="360"/>
      <w:rPr>
        <w:rFonts w:ascii="CG Times" w:hAnsi="CG Times"/>
      </w:rPr>
    </w:pPr>
    <w:r>
      <w:rPr>
        <w:rFonts w:ascii="CG Times" w:hAnsi="CG Times"/>
      </w:rPr>
      <w:t>Revised 1999</w:t>
    </w:r>
    <w:r>
      <w:rPr>
        <w:rFonts w:ascii="CG Times" w:hAnsi="CG Times"/>
      </w:rPr>
      <w:tab/>
    </w:r>
    <w:r>
      <w:rPr>
        <w:rFonts w:ascii="CG Times" w:hAnsi="CG Times"/>
      </w:rPr>
      <w:tab/>
      <w:t xml:space="preserve">Article 1.10 – </w:t>
    </w:r>
    <w:r>
      <w:rPr>
        <w:rStyle w:val="PageNumber"/>
        <w:rFonts w:ascii="CG Times" w:hAnsi="CG Times"/>
      </w:rPr>
      <w:fldChar w:fldCharType="begin"/>
    </w:r>
    <w:r>
      <w:rPr>
        <w:rStyle w:val="PageNumber"/>
        <w:rFonts w:ascii="CG Times" w:hAnsi="CG Times"/>
      </w:rPr>
      <w:instrText xml:space="preserve"> PAGE </w:instrText>
    </w:r>
    <w:r>
      <w:rPr>
        <w:rStyle w:val="PageNumber"/>
        <w:rFonts w:ascii="CG Times" w:hAnsi="CG Times"/>
      </w:rPr>
      <w:fldChar w:fldCharType="separate"/>
    </w:r>
    <w:r>
      <w:rPr>
        <w:rStyle w:val="PageNumber"/>
        <w:rFonts w:ascii="CG Times" w:hAnsi="CG Times"/>
        <w:noProof/>
      </w:rPr>
      <w:t>1</w:t>
    </w:r>
    <w:r>
      <w:rPr>
        <w:rStyle w:val="PageNumber"/>
        <w:rFonts w:ascii="CG Times" w:hAnsi="CG Tim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101F0">
      <w:r>
        <w:separator/>
      </w:r>
    </w:p>
  </w:footnote>
  <w:footnote w:type="continuationSeparator" w:id="0">
    <w:p w:rsidR="00000000" w:rsidRDefault="00A10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bordersDoNotSurroundHeader/>
  <w:bordersDoNotSurroundFooter/>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BE3"/>
    <w:rsid w:val="003E7BE3"/>
    <w:rsid w:val="00A10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widowControl/>
      <w:suppressAutoHyphens/>
      <w:spacing w:line="420" w:lineRule="auto"/>
      <w:jc w:val="both"/>
    </w:pPr>
    <w:rPr>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widowControl/>
      <w:suppressAutoHyphens/>
      <w:spacing w:line="420" w:lineRule="auto"/>
      <w:jc w:val="both"/>
    </w:pPr>
    <w:rPr>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Draft #2</vt:lpstr>
    </vt:vector>
  </TitlesOfParts>
  <Company>Alaska Court System</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dc:title>
  <dc:subject/>
  <dc:creator>Robert Storm</dc:creator>
  <cp:keywords/>
  <cp:lastModifiedBy>Michael Merrington</cp:lastModifiedBy>
  <cp:revision>3</cp:revision>
  <cp:lastPrinted>1999-11-26T22:20:00Z</cp:lastPrinted>
  <dcterms:created xsi:type="dcterms:W3CDTF">2017-04-04T18:35:00Z</dcterms:created>
  <dcterms:modified xsi:type="dcterms:W3CDTF">2017-04-04T18:35:00Z</dcterms:modified>
</cp:coreProperties>
</file>