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6BA">
      <w:pPr>
        <w:pStyle w:val="Header"/>
        <w:tabs>
          <w:tab w:val="left" w:pos="1440"/>
        </w:tabs>
        <w:rPr>
          <w:rFonts w:ascii="Bookman Old Style" w:hAnsi="Bookman Old Style"/>
          <w:b/>
          <w:sz w:val="26"/>
        </w:rPr>
      </w:pPr>
      <w:bookmarkStart w:id="0" w:name="_GoBack"/>
      <w:bookmarkEnd w:id="0"/>
      <w:r>
        <w:rPr>
          <w:rFonts w:ascii="Bookman Old Style" w:hAnsi="Bookman Old Style"/>
          <w:b/>
          <w:sz w:val="26"/>
        </w:rPr>
        <w:t>1A.03</w:t>
      </w:r>
      <w:r>
        <w:rPr>
          <w:rFonts w:ascii="Bookman Old Style" w:hAnsi="Bookman Old Style"/>
          <w:b/>
          <w:sz w:val="26"/>
        </w:rPr>
        <w:tab/>
      </w:r>
      <w:r>
        <w:rPr>
          <w:rFonts w:ascii="Bookman Old Style" w:hAnsi="Bookman Old Style"/>
          <w:b/>
          <w:caps/>
          <w:sz w:val="26"/>
        </w:rPr>
        <w:t>Striking Evidence – Part of Answer Stricken</w:t>
      </w:r>
    </w:p>
    <w:p w:rsidR="00000000" w:rsidRDefault="009A06BA">
      <w:pPr>
        <w:suppressAutoHyphens/>
        <w:spacing w:line="360" w:lineRule="auto"/>
        <w:jc w:val="both"/>
        <w:rPr>
          <w:rFonts w:ascii="Bookman Old Style" w:hAnsi="Bookman Old Style"/>
          <w:spacing w:val="-3"/>
          <w:sz w:val="26"/>
        </w:rPr>
      </w:pPr>
    </w:p>
    <w:p w:rsidR="00000000" w:rsidRDefault="009A06BA">
      <w:pPr>
        <w:suppressAutoHyphens/>
        <w:spacing w:line="360" w:lineRule="auto"/>
        <w:jc w:val="both"/>
        <w:rPr>
          <w:rFonts w:ascii="Bookman Old Style" w:hAnsi="Bookman Old Style"/>
          <w:spacing w:val="-3"/>
          <w:sz w:val="26"/>
        </w:rPr>
      </w:pPr>
    </w:p>
    <w:p w:rsidR="00000000" w:rsidRDefault="009A06BA">
      <w:pPr>
        <w:suppressAutoHyphens/>
        <w:spacing w:line="360" w:lineRule="auto"/>
        <w:jc w:val="both"/>
        <w:rPr>
          <w:rFonts w:ascii="Bookman Old Style" w:hAnsi="Bookman Old Style"/>
          <w:spacing w:val="-3"/>
          <w:sz w:val="26"/>
        </w:rPr>
      </w:pPr>
      <w:r>
        <w:rPr>
          <w:rFonts w:ascii="Bookman Old Style" w:hAnsi="Bookman Old Style"/>
          <w:spacing w:val="-3"/>
          <w:sz w:val="26"/>
        </w:rPr>
        <w:tab/>
        <w:t>Part of the answer to that question must be disregarded.  The law only allows you to consider the following part of the answer (summarize the acceptable part).  Everything else must be treated as if it h</w:t>
      </w:r>
      <w:r>
        <w:rPr>
          <w:rFonts w:ascii="Bookman Old Style" w:hAnsi="Bookman Old Style"/>
          <w:spacing w:val="-3"/>
          <w:sz w:val="26"/>
        </w:rPr>
        <w:t>ad not been said in this case.</w:t>
      </w:r>
    </w:p>
    <w:p w:rsidR="00000000" w:rsidRDefault="009A06BA">
      <w:pPr>
        <w:suppressAutoHyphens/>
        <w:spacing w:line="360" w:lineRule="auto"/>
        <w:jc w:val="both"/>
        <w:rPr>
          <w:rFonts w:ascii="Bookman Old Style" w:hAnsi="Bookman Old Style"/>
          <w:spacing w:val="-3"/>
          <w:sz w:val="26"/>
        </w:rPr>
      </w:pPr>
    </w:p>
    <w:p w:rsidR="00000000" w:rsidRDefault="009A06BA">
      <w:pPr>
        <w:suppressAutoHyphens/>
        <w:spacing w:line="360" w:lineRule="auto"/>
        <w:jc w:val="both"/>
        <w:rPr>
          <w:rFonts w:ascii="Bookman Old Style" w:hAnsi="Bookman Old Style"/>
          <w:spacing w:val="-3"/>
          <w:sz w:val="26"/>
        </w:rPr>
      </w:pPr>
    </w:p>
    <w:p w:rsidR="00000000" w:rsidRDefault="009A06BA">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9A06BA">
      <w:pPr>
        <w:tabs>
          <w:tab w:val="left" w:pos="-720"/>
        </w:tabs>
        <w:suppressAutoHyphens/>
        <w:jc w:val="both"/>
        <w:rPr>
          <w:rFonts w:ascii="Bookman Old Style" w:hAnsi="Bookman Old Style"/>
          <w:spacing w:val="-3"/>
          <w:sz w:val="26"/>
        </w:rPr>
      </w:pPr>
    </w:p>
    <w:p w:rsidR="00000000" w:rsidRDefault="009A06BA">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be used when only part of an answer is stricken.  The question is still likely to be important in understanding the answer.  What the instruction does is to tell the jury what it may use,</w:t>
      </w:r>
      <w:r>
        <w:rPr>
          <w:rFonts w:ascii="Bookman Old Style" w:hAnsi="Bookman Old Style"/>
          <w:spacing w:val="-3"/>
          <w:sz w:val="26"/>
        </w:rPr>
        <w:t xml:space="preserve"> and that it must disregard the rest of the answer.</w:t>
      </w:r>
    </w:p>
    <w:p w:rsidR="00000000" w:rsidRDefault="009A06BA">
      <w:pPr>
        <w:tabs>
          <w:tab w:val="left" w:pos="-720"/>
        </w:tabs>
        <w:suppressAutoHyphens/>
        <w:jc w:val="both"/>
        <w:rPr>
          <w:rFonts w:ascii="Bookman Old Style" w:hAnsi="Bookman Old Style"/>
          <w:spacing w:val="-3"/>
          <w:sz w:val="26"/>
        </w:rPr>
      </w:pPr>
    </w:p>
    <w:p w:rsidR="00000000" w:rsidRDefault="009A06BA">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9A06BA">
      <w:pPr>
        <w:tabs>
          <w:tab w:val="left" w:pos="-720"/>
        </w:tabs>
        <w:suppressAutoHyphens/>
        <w:jc w:val="both"/>
        <w:rPr>
          <w:rFonts w:ascii="Bookman Old Style" w:hAnsi="Bookman Old Style"/>
          <w:spacing w:val="-3"/>
          <w:sz w:val="26"/>
        </w:rPr>
      </w:pPr>
    </w:p>
    <w:p w:rsidR="00000000" w:rsidRDefault="009A06BA">
      <w:pPr>
        <w:tabs>
          <w:tab w:val="left" w:pos="-720"/>
        </w:tabs>
        <w:suppressAutoHyphens/>
        <w:jc w:val="both"/>
        <w:rPr>
          <w:rFonts w:ascii="Bookman Old Style" w:hAnsi="Bookman Old Style"/>
          <w:spacing w:val="-3"/>
          <w:sz w:val="26"/>
        </w:rPr>
      </w:pPr>
      <w:r>
        <w:rPr>
          <w:rFonts w:ascii="Bookman Old Style" w:hAnsi="Bookman Old Style"/>
          <w:spacing w:val="-3"/>
          <w:sz w:val="26"/>
        </w:rPr>
        <w:tab/>
        <w:t>The instruction is written to emphasize that which is admissible and to de-emphasize that which is inadmissible.  The idea is to avoid emphasizing the very material that the court wants the ju</w:t>
      </w:r>
      <w:r>
        <w:rPr>
          <w:rFonts w:ascii="Bookman Old Style" w:hAnsi="Bookman Old Style"/>
          <w:spacing w:val="-3"/>
          <w:sz w:val="26"/>
        </w:rPr>
        <w:t>ry to forget.</w:t>
      </w:r>
    </w:p>
    <w:sectPr w:rsidR="00000000">
      <w:footerReference w:type="default" r:id="rId7"/>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6BA">
      <w:pPr>
        <w:spacing w:line="20" w:lineRule="exact"/>
        <w:rPr>
          <w:sz w:val="24"/>
        </w:rPr>
      </w:pPr>
    </w:p>
  </w:endnote>
  <w:endnote w:type="continuationSeparator" w:id="0">
    <w:p w:rsidR="00000000" w:rsidRDefault="009A06BA">
      <w:r>
        <w:rPr>
          <w:sz w:val="24"/>
        </w:rPr>
        <w:t xml:space="preserve"> </w:t>
      </w:r>
    </w:p>
  </w:endnote>
  <w:endnote w:type="continuationNotice" w:id="1">
    <w:p w:rsidR="00000000" w:rsidRDefault="009A06B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6BA">
    <w:pPr>
      <w:pStyle w:val="Footer"/>
      <w:tabs>
        <w:tab w:val="clear" w:pos="8640"/>
        <w:tab w:val="right" w:pos="927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Article 1A.03 - 1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6BA">
      <w:r>
        <w:rPr>
          <w:sz w:val="24"/>
        </w:rPr>
        <w:separator/>
      </w:r>
    </w:p>
  </w:footnote>
  <w:footnote w:type="continuationSeparator" w:id="0">
    <w:p w:rsidR="00000000" w:rsidRDefault="009A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58"/>
    <w:rsid w:val="008F1B58"/>
    <w:rsid w:val="009A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2000-03-20T22:53:00Z</cp:lastPrinted>
  <dcterms:created xsi:type="dcterms:W3CDTF">2017-04-04T18:35:00Z</dcterms:created>
  <dcterms:modified xsi:type="dcterms:W3CDTF">2017-04-04T18:35:00Z</dcterms:modified>
</cp:coreProperties>
</file>