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71F70">
      <w:pPr>
        <w:pStyle w:val="Header"/>
        <w:tabs>
          <w:tab w:val="left" w:pos="1440"/>
        </w:tabs>
        <w:jc w:val="both"/>
        <w:rPr>
          <w:rFonts w:ascii="Bookman Old Style" w:hAnsi="Bookman Old Style"/>
          <w:b/>
          <w:sz w:val="26"/>
        </w:rPr>
      </w:pPr>
      <w:bookmarkStart w:id="0" w:name="_GoBack"/>
      <w:bookmarkEnd w:id="0"/>
      <w:r>
        <w:rPr>
          <w:rFonts w:ascii="Bookman Old Style" w:hAnsi="Bookman Old Style"/>
          <w:b/>
          <w:sz w:val="26"/>
        </w:rPr>
        <w:t>1A.06C</w:t>
      </w:r>
      <w:r>
        <w:rPr>
          <w:rFonts w:ascii="Bookman Old Style" w:hAnsi="Bookman Old Style"/>
          <w:b/>
          <w:sz w:val="26"/>
        </w:rPr>
        <w:tab/>
        <w:t>LIMITING INSTRUCTION – SIMPLE ADMISSION</w:t>
      </w:r>
    </w:p>
    <w:p w:rsidR="00000000" w:rsidRDefault="00071F70">
      <w:pPr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</w:p>
    <w:p w:rsidR="00000000" w:rsidRDefault="00071F70">
      <w:pPr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</w:p>
    <w:p w:rsidR="00000000" w:rsidRDefault="00071F70">
      <w:pPr>
        <w:pStyle w:val="BodyText"/>
      </w:pPr>
      <w:r>
        <w:tab/>
        <w:t>You have heard evidence that (name or description of declarant) made a statement that (insert description). [It is for you to decide whether the statement was made.  If you decide that it was,] [Y]ou may co</w:t>
      </w:r>
      <w:r>
        <w:t>nsider the statement as evidence only against (name of party) who made the statement.  This party is responsible for what [he][she] said; the other parties are not.  You are not required to believe the statement.  It is for you to decide what weight, if an</w:t>
      </w:r>
      <w:r>
        <w:t>y, to give it.  But it may only be used as evidence against (name of party).</w:t>
      </w:r>
    </w:p>
    <w:p w:rsidR="00000000" w:rsidRDefault="00071F70">
      <w:pPr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</w:p>
    <w:p w:rsidR="00000000" w:rsidRDefault="00071F70">
      <w:pPr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</w:p>
    <w:p w:rsidR="00000000" w:rsidRDefault="00071F70">
      <w:pPr>
        <w:tabs>
          <w:tab w:val="center" w:pos="4680"/>
        </w:tabs>
        <w:suppressAutoHyphens/>
        <w:jc w:val="both"/>
        <w:rPr>
          <w:rFonts w:ascii="Bookman Old Style" w:hAnsi="Bookman Old Style"/>
          <w:spacing w:val="-3"/>
          <w:sz w:val="26"/>
        </w:rPr>
      </w:pPr>
      <w:r>
        <w:rPr>
          <w:rFonts w:ascii="Bookman Old Style" w:hAnsi="Bookman Old Style"/>
          <w:spacing w:val="-3"/>
          <w:sz w:val="26"/>
        </w:rPr>
        <w:tab/>
      </w:r>
      <w:r>
        <w:rPr>
          <w:rFonts w:ascii="Bookman Old Style" w:hAnsi="Bookman Old Style"/>
          <w:spacing w:val="-3"/>
          <w:sz w:val="26"/>
          <w:u w:val="single"/>
        </w:rPr>
        <w:t>Use Note</w:t>
      </w:r>
    </w:p>
    <w:p w:rsidR="00000000" w:rsidRDefault="00071F70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</w:p>
    <w:p w:rsidR="00000000" w:rsidRDefault="00071F70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  <w:r>
        <w:rPr>
          <w:rFonts w:ascii="Bookman Old Style" w:hAnsi="Bookman Old Style"/>
          <w:spacing w:val="-3"/>
          <w:sz w:val="26"/>
        </w:rPr>
        <w:tab/>
        <w:t>This instruction should be used for simple admissions in a multiple party case.  If there is only one party on a side and that party made an admission, no instructio</w:t>
      </w:r>
      <w:r>
        <w:rPr>
          <w:rFonts w:ascii="Bookman Old Style" w:hAnsi="Bookman Old Style"/>
          <w:spacing w:val="-3"/>
          <w:sz w:val="26"/>
        </w:rPr>
        <w:t>n is needed.</w:t>
      </w:r>
    </w:p>
    <w:p w:rsidR="00000000" w:rsidRDefault="00071F70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</w:p>
    <w:p w:rsidR="00000000" w:rsidRDefault="00071F70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  <w:r>
        <w:rPr>
          <w:rFonts w:ascii="Bookman Old Style" w:hAnsi="Bookman Old Style"/>
          <w:spacing w:val="-3"/>
          <w:sz w:val="26"/>
        </w:rPr>
        <w:tab/>
        <w:t>Vicarious admissions are covered by Instruction 1A.06D.</w:t>
      </w:r>
    </w:p>
    <w:p w:rsidR="00000000" w:rsidRDefault="00071F70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</w:p>
    <w:p w:rsidR="00000000" w:rsidRDefault="00071F70">
      <w:pPr>
        <w:tabs>
          <w:tab w:val="center" w:pos="4680"/>
        </w:tabs>
        <w:suppressAutoHyphens/>
        <w:jc w:val="both"/>
        <w:rPr>
          <w:rFonts w:ascii="Bookman Old Style" w:hAnsi="Bookman Old Style"/>
          <w:spacing w:val="-3"/>
          <w:sz w:val="26"/>
        </w:rPr>
      </w:pPr>
      <w:r>
        <w:rPr>
          <w:rFonts w:ascii="Bookman Old Style" w:hAnsi="Bookman Old Style"/>
          <w:spacing w:val="-3"/>
          <w:sz w:val="26"/>
        </w:rPr>
        <w:tab/>
      </w:r>
      <w:r>
        <w:rPr>
          <w:rFonts w:ascii="Bookman Old Style" w:hAnsi="Bookman Old Style"/>
          <w:spacing w:val="-3"/>
          <w:sz w:val="26"/>
          <w:u w:val="single"/>
        </w:rPr>
        <w:t>Comment</w:t>
      </w:r>
    </w:p>
    <w:p w:rsidR="00000000" w:rsidRDefault="00071F70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</w:p>
    <w:p w:rsidR="00000000" w:rsidRDefault="00071F70">
      <w:pPr>
        <w:tabs>
          <w:tab w:val="left" w:pos="-720"/>
        </w:tabs>
        <w:suppressAutoHyphens/>
        <w:jc w:val="both"/>
        <w:rPr>
          <w:rFonts w:ascii="Bookman Old Style" w:hAnsi="Bookman Old Style"/>
          <w:spacing w:val="-3"/>
          <w:sz w:val="26"/>
        </w:rPr>
      </w:pPr>
      <w:r>
        <w:rPr>
          <w:rFonts w:ascii="Bookman Old Style" w:hAnsi="Bookman Old Style"/>
          <w:spacing w:val="-3"/>
          <w:sz w:val="26"/>
        </w:rPr>
        <w:tab/>
        <w:t xml:space="preserve">This instruction should cover admission falling under Alaska R. Evid. 801(d)(2)(A).  It is drafted to indicate to the jury why an admission may be used against one, but not </w:t>
      </w:r>
      <w:r>
        <w:rPr>
          <w:rFonts w:ascii="Bookman Old Style" w:hAnsi="Bookman Old Style"/>
          <w:spacing w:val="-3"/>
          <w:sz w:val="26"/>
        </w:rPr>
        <w:t>all, defendants.  If the jury understands the distinction between defendants, it may be more likely to use the evidence properly.</w:t>
      </w:r>
    </w:p>
    <w:sectPr w:rsidR="00000000">
      <w:footerReference w:type="default" r:id="rId7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71F70">
      <w:pPr>
        <w:spacing w:line="20" w:lineRule="exact"/>
        <w:rPr>
          <w:sz w:val="24"/>
        </w:rPr>
      </w:pPr>
    </w:p>
  </w:endnote>
  <w:endnote w:type="continuationSeparator" w:id="0">
    <w:p w:rsidR="00000000" w:rsidRDefault="00071F70">
      <w:r>
        <w:rPr>
          <w:sz w:val="24"/>
        </w:rPr>
        <w:t xml:space="preserve"> </w:t>
      </w:r>
    </w:p>
  </w:endnote>
  <w:endnote w:type="continuationNotice" w:id="1">
    <w:p w:rsidR="00000000" w:rsidRDefault="00071F7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71F70">
    <w:pPr>
      <w:pStyle w:val="Footer"/>
      <w:tabs>
        <w:tab w:val="clear" w:pos="8640"/>
        <w:tab w:val="right" w:pos="9180"/>
      </w:tabs>
      <w:rPr>
        <w:rFonts w:ascii="Bookman Old Style" w:hAnsi="Bookman Old Style"/>
        <w:sz w:val="22"/>
      </w:rPr>
    </w:pPr>
    <w:r>
      <w:rPr>
        <w:rFonts w:ascii="Bookman Old Style" w:hAnsi="Bookman Old Style"/>
        <w:sz w:val="22"/>
      </w:rPr>
      <w:t>Added 1999</w:t>
    </w:r>
    <w:r>
      <w:rPr>
        <w:rFonts w:ascii="Bookman Old Style" w:hAnsi="Bookman Old Style"/>
        <w:sz w:val="22"/>
      </w:rPr>
      <w:tab/>
    </w:r>
    <w:r>
      <w:rPr>
        <w:rFonts w:ascii="Bookman Old Style" w:hAnsi="Bookman Old Style"/>
        <w:sz w:val="22"/>
      </w:rPr>
      <w:tab/>
      <w:t>Article 1A.06C - 1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71F70">
      <w:r>
        <w:rPr>
          <w:sz w:val="24"/>
        </w:rPr>
        <w:separator/>
      </w:r>
    </w:p>
  </w:footnote>
  <w:footnote w:type="continuationSeparator" w:id="0">
    <w:p w:rsidR="00000000" w:rsidRDefault="00071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bordersDoNotSurroundHeader/>
  <w:bordersDoNotSurroundFooter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E2"/>
    <w:rsid w:val="00071F70"/>
    <w:rsid w:val="00FA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DefaultPara">
    <w:name w:val="Default Para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uppressAutoHyphens/>
      <w:spacing w:line="360" w:lineRule="auto"/>
      <w:jc w:val="both"/>
    </w:pPr>
    <w:rPr>
      <w:rFonts w:ascii="Bookman Old Style" w:hAnsi="Bookman Old Style"/>
      <w:spacing w:val="-3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DefaultPara">
    <w:name w:val="Default Para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uppressAutoHyphens/>
      <w:spacing w:line="360" w:lineRule="auto"/>
      <w:jc w:val="both"/>
    </w:pPr>
    <w:rPr>
      <w:rFonts w:ascii="Bookman Old Style" w:hAnsi="Bookman Old Style"/>
      <w:spacing w:val="-3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1</vt:lpstr>
    </vt:vector>
  </TitlesOfParts>
  <Company>Alaska Court System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1</dc:title>
  <dc:subject/>
  <dc:creator>Robert Storm</dc:creator>
  <cp:keywords/>
  <cp:lastModifiedBy>Michael Merrington</cp:lastModifiedBy>
  <cp:revision>3</cp:revision>
  <cp:lastPrinted>2000-03-20T22:58:00Z</cp:lastPrinted>
  <dcterms:created xsi:type="dcterms:W3CDTF">2017-04-04T18:46:00Z</dcterms:created>
  <dcterms:modified xsi:type="dcterms:W3CDTF">2017-04-04T18:46:00Z</dcterms:modified>
</cp:coreProperties>
</file>