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7D3A">
      <w:pPr>
        <w:pStyle w:val="Header"/>
        <w:tabs>
          <w:tab w:val="left" w:pos="1440"/>
        </w:tabs>
        <w:ind w:left="1440" w:hanging="1440"/>
        <w:jc w:val="both"/>
        <w:rPr>
          <w:rFonts w:ascii="Bookman Old Style" w:hAnsi="Bookman Old Style"/>
          <w:b/>
          <w:sz w:val="26"/>
        </w:rPr>
      </w:pPr>
      <w:bookmarkStart w:id="0" w:name="_GoBack"/>
      <w:bookmarkEnd w:id="0"/>
      <w:r>
        <w:rPr>
          <w:rFonts w:ascii="Bookman Old Style" w:hAnsi="Bookman Old Style"/>
          <w:b/>
          <w:sz w:val="26"/>
        </w:rPr>
        <w:t>1A.11</w:t>
      </w:r>
      <w:r>
        <w:rPr>
          <w:rFonts w:ascii="Bookman Old Style" w:hAnsi="Bookman Old Style"/>
          <w:b/>
          <w:sz w:val="26"/>
        </w:rPr>
        <w:tab/>
        <w:t>LIMITING INSTRUCTION – CLAIMS OF PRIVILEGE BY PARTY GENERALLY</w:t>
      </w:r>
    </w:p>
    <w:p w:rsidR="00000000" w:rsidRDefault="007A7D3A">
      <w:pPr>
        <w:widowControl/>
        <w:suppressAutoHyphens/>
        <w:spacing w:line="360" w:lineRule="auto"/>
        <w:jc w:val="both"/>
        <w:rPr>
          <w:rFonts w:ascii="Bookman Old Style" w:hAnsi="Bookman Old Style"/>
          <w:spacing w:val="-3"/>
          <w:sz w:val="26"/>
        </w:rPr>
      </w:pPr>
    </w:p>
    <w:p w:rsidR="00000000" w:rsidRDefault="007A7D3A">
      <w:pPr>
        <w:widowControl/>
        <w:suppressAutoHyphens/>
        <w:spacing w:line="360" w:lineRule="auto"/>
        <w:jc w:val="both"/>
        <w:rPr>
          <w:rFonts w:ascii="Bookman Old Style" w:hAnsi="Bookman Old Style"/>
          <w:spacing w:val="-3"/>
          <w:sz w:val="26"/>
        </w:rPr>
      </w:pPr>
    </w:p>
    <w:p w:rsidR="00000000" w:rsidRDefault="007A7D3A">
      <w:pPr>
        <w:widowControl/>
        <w:suppressAutoHyphens/>
        <w:spacing w:line="360" w:lineRule="auto"/>
        <w:jc w:val="both"/>
        <w:rPr>
          <w:rFonts w:ascii="Bookman Old Style" w:hAnsi="Bookman Old Style"/>
          <w:spacing w:val="-3"/>
          <w:sz w:val="26"/>
        </w:rPr>
      </w:pPr>
      <w:r>
        <w:rPr>
          <w:rFonts w:ascii="Bookman Old Style" w:hAnsi="Bookman Old Style"/>
          <w:spacing w:val="-3"/>
          <w:sz w:val="26"/>
        </w:rPr>
        <w:tab/>
        <w:t xml:space="preserve">People have a legal right not to disclose (insert description of what is privileged--e.g., what they told their lawyer in confidence) because this information falls within an area that </w:t>
      </w:r>
      <w:r>
        <w:rPr>
          <w:rFonts w:ascii="Bookman Old Style" w:hAnsi="Bookman Old Style"/>
          <w:spacing w:val="-3"/>
          <w:sz w:val="26"/>
        </w:rPr>
        <w:t>the law regards as private.  A party is not to be penalized in any way for exercising this right.  To protect privacy, the law provides that this right may be exercised freely and without fear of penalty.</w:t>
      </w:r>
    </w:p>
    <w:p w:rsidR="00000000" w:rsidRDefault="007A7D3A">
      <w:pPr>
        <w:widowControl/>
        <w:suppressAutoHyphens/>
        <w:spacing w:line="360" w:lineRule="auto"/>
        <w:jc w:val="both"/>
        <w:rPr>
          <w:rFonts w:ascii="Bookman Old Style" w:hAnsi="Bookman Old Style"/>
          <w:spacing w:val="-3"/>
          <w:sz w:val="26"/>
        </w:rPr>
      </w:pPr>
    </w:p>
    <w:p w:rsidR="00000000" w:rsidRDefault="007A7D3A">
      <w:pPr>
        <w:widowControl/>
        <w:suppressAutoHyphens/>
        <w:spacing w:line="360" w:lineRule="auto"/>
        <w:jc w:val="both"/>
        <w:rPr>
          <w:rFonts w:ascii="Bookman Old Style" w:hAnsi="Bookman Old Style"/>
          <w:spacing w:val="-3"/>
          <w:sz w:val="26"/>
        </w:rPr>
      </w:pPr>
    </w:p>
    <w:p w:rsidR="00000000" w:rsidRDefault="007A7D3A">
      <w:pPr>
        <w:widowControl/>
        <w:tabs>
          <w:tab w:val="center" w:pos="4680"/>
        </w:tabs>
        <w:suppressAutoHyphens/>
        <w:jc w:val="both"/>
        <w:rPr>
          <w:rFonts w:ascii="Bookman Old Style" w:hAnsi="Bookman Old Style"/>
          <w:spacing w:val="-3"/>
          <w:sz w:val="26"/>
          <w:u w:val="single"/>
        </w:rPr>
      </w:pPr>
      <w:r>
        <w:rPr>
          <w:rFonts w:ascii="Bookman Old Style" w:hAnsi="Bookman Old Style"/>
          <w:spacing w:val="-3"/>
          <w:sz w:val="26"/>
        </w:rPr>
        <w:tab/>
      </w:r>
      <w:r>
        <w:rPr>
          <w:rFonts w:ascii="Bookman Old Style" w:hAnsi="Bookman Old Style"/>
          <w:spacing w:val="-3"/>
          <w:sz w:val="26"/>
          <w:u w:val="single"/>
        </w:rPr>
        <w:t>Use Note</w:t>
      </w:r>
    </w:p>
    <w:p w:rsidR="00000000" w:rsidRDefault="007A7D3A">
      <w:pPr>
        <w:widowControl/>
        <w:tabs>
          <w:tab w:val="left" w:pos="-720"/>
        </w:tabs>
        <w:suppressAutoHyphens/>
        <w:jc w:val="both"/>
        <w:rPr>
          <w:rFonts w:ascii="Bookman Old Style" w:hAnsi="Bookman Old Style"/>
          <w:spacing w:val="-3"/>
          <w:sz w:val="26"/>
        </w:rPr>
      </w:pPr>
    </w:p>
    <w:p w:rsidR="00000000" w:rsidRDefault="007A7D3A">
      <w:pPr>
        <w:widowControl/>
        <w:tabs>
          <w:tab w:val="left" w:pos="-720"/>
        </w:tabs>
        <w:suppressAutoHyphens/>
        <w:jc w:val="both"/>
        <w:rPr>
          <w:rFonts w:ascii="Bookman Old Style" w:hAnsi="Bookman Old Style"/>
          <w:spacing w:val="-3"/>
          <w:sz w:val="26"/>
        </w:rPr>
      </w:pPr>
      <w:r>
        <w:rPr>
          <w:rFonts w:ascii="Bookman Old Style" w:hAnsi="Bookman Old Style"/>
          <w:spacing w:val="-3"/>
          <w:sz w:val="26"/>
        </w:rPr>
        <w:tab/>
        <w:t xml:space="preserve">Alaska R. Evid. 512(b) provides that </w:t>
      </w:r>
      <w:r>
        <w:rPr>
          <w:rFonts w:ascii="Bookman Old Style" w:hAnsi="Bookman Old Style"/>
          <w:spacing w:val="-3"/>
          <w:sz w:val="26"/>
        </w:rPr>
        <w:t xml:space="preserve">jury trials shall be conducted, to the extent practicable, so as to facilitate the making of privilege claims outside the hearing of the jury.  This instruction should be used when this has not been practicable and the jury has heard a claim of privilege. </w:t>
      </w:r>
      <w:r>
        <w:rPr>
          <w:rFonts w:ascii="Bookman Old Style" w:hAnsi="Bookman Old Style"/>
          <w:spacing w:val="-3"/>
          <w:sz w:val="26"/>
        </w:rPr>
        <w:t xml:space="preserve"> Alaska R. Evid. 512(c) gives a party a right to a limiting instruction when a claim of privilege might result in an adverse inference against that party.  This instruction does not cover the exercise of the privilege against self-incrimination, which is c</w:t>
      </w:r>
      <w:r>
        <w:rPr>
          <w:rFonts w:ascii="Bookman Old Style" w:hAnsi="Bookman Old Style"/>
          <w:spacing w:val="-3"/>
          <w:sz w:val="26"/>
        </w:rPr>
        <w:t>overed by instruction 1A.13.</w:t>
      </w:r>
    </w:p>
    <w:p w:rsidR="00000000" w:rsidRDefault="007A7D3A">
      <w:pPr>
        <w:widowControl/>
        <w:tabs>
          <w:tab w:val="left" w:pos="-720"/>
        </w:tabs>
        <w:suppressAutoHyphens/>
        <w:jc w:val="both"/>
        <w:rPr>
          <w:rFonts w:ascii="Bookman Old Style" w:hAnsi="Bookman Old Style"/>
          <w:spacing w:val="-3"/>
          <w:sz w:val="26"/>
        </w:rPr>
      </w:pPr>
    </w:p>
    <w:p w:rsidR="00000000" w:rsidRDefault="007A7D3A">
      <w:pPr>
        <w:widowControl/>
        <w:tabs>
          <w:tab w:val="left" w:pos="-720"/>
        </w:tabs>
        <w:suppressAutoHyphens/>
        <w:jc w:val="both"/>
        <w:rPr>
          <w:rFonts w:ascii="Bookman Old Style" w:hAnsi="Bookman Old Style"/>
          <w:spacing w:val="-3"/>
          <w:sz w:val="26"/>
        </w:rPr>
      </w:pPr>
      <w:r>
        <w:rPr>
          <w:rFonts w:ascii="Bookman Old Style" w:hAnsi="Bookman Old Style"/>
          <w:spacing w:val="-3"/>
          <w:sz w:val="26"/>
        </w:rPr>
        <w:tab/>
        <w:t>The word "right" is used instead of "privilege" for emphasis and because it is a more common word.</w:t>
      </w:r>
    </w:p>
    <w:p w:rsidR="00000000" w:rsidRDefault="007A7D3A">
      <w:pPr>
        <w:widowControl/>
        <w:tabs>
          <w:tab w:val="left" w:pos="-720"/>
        </w:tabs>
        <w:suppressAutoHyphens/>
        <w:jc w:val="both"/>
        <w:rPr>
          <w:rFonts w:ascii="Bookman Old Style" w:hAnsi="Bookman Old Style"/>
          <w:spacing w:val="-3"/>
          <w:sz w:val="26"/>
        </w:rPr>
      </w:pPr>
    </w:p>
    <w:p w:rsidR="00000000" w:rsidRDefault="007A7D3A">
      <w:pPr>
        <w:widowControl/>
        <w:tabs>
          <w:tab w:val="center" w:pos="4680"/>
        </w:tabs>
        <w:suppressAutoHyphens/>
        <w:jc w:val="both"/>
        <w:rPr>
          <w:rFonts w:ascii="Bookman Old Style" w:hAnsi="Bookman Old Style"/>
          <w:spacing w:val="-3"/>
          <w:sz w:val="26"/>
          <w:u w:val="single"/>
        </w:rPr>
      </w:pPr>
      <w:r>
        <w:rPr>
          <w:rFonts w:ascii="Bookman Old Style" w:hAnsi="Bookman Old Style"/>
          <w:spacing w:val="-3"/>
          <w:sz w:val="26"/>
        </w:rPr>
        <w:tab/>
      </w:r>
      <w:r>
        <w:rPr>
          <w:rFonts w:ascii="Bookman Old Style" w:hAnsi="Bookman Old Style"/>
          <w:spacing w:val="-3"/>
          <w:sz w:val="26"/>
          <w:u w:val="single"/>
        </w:rPr>
        <w:t>Comment</w:t>
      </w:r>
    </w:p>
    <w:p w:rsidR="00000000" w:rsidRDefault="007A7D3A">
      <w:pPr>
        <w:widowControl/>
        <w:tabs>
          <w:tab w:val="left" w:pos="-720"/>
        </w:tabs>
        <w:suppressAutoHyphens/>
        <w:jc w:val="both"/>
        <w:rPr>
          <w:rFonts w:ascii="Bookman Old Style" w:hAnsi="Bookman Old Style"/>
          <w:spacing w:val="-3"/>
          <w:sz w:val="26"/>
        </w:rPr>
      </w:pPr>
    </w:p>
    <w:p w:rsidR="00000000" w:rsidRDefault="007A7D3A">
      <w:pPr>
        <w:widowControl/>
        <w:tabs>
          <w:tab w:val="left" w:pos="-720"/>
        </w:tabs>
        <w:suppressAutoHyphens/>
        <w:jc w:val="both"/>
        <w:rPr>
          <w:rFonts w:ascii="Bookman Old Style" w:hAnsi="Bookman Old Style"/>
          <w:spacing w:val="-3"/>
          <w:sz w:val="26"/>
        </w:rPr>
      </w:pPr>
      <w:r>
        <w:rPr>
          <w:rFonts w:ascii="Bookman Old Style" w:hAnsi="Bookman Old Style"/>
          <w:spacing w:val="-3"/>
          <w:sz w:val="26"/>
        </w:rPr>
        <w:tab/>
        <w:t>Alaska R. Evid. 512(a) establishes that generally a claim of privilege is not a proper subject of comment by judge</w:t>
      </w:r>
      <w:r>
        <w:rPr>
          <w:rFonts w:ascii="Bookman Old Style" w:hAnsi="Bookman Old Style"/>
          <w:spacing w:val="-3"/>
          <w:sz w:val="26"/>
        </w:rPr>
        <w:t xml:space="preserve"> or counsel and that no inference may be drawn therefrom.  This instruction complements the evidence rule.</w:t>
      </w:r>
    </w:p>
    <w:p w:rsidR="00000000" w:rsidRDefault="007A7D3A">
      <w:pPr>
        <w:widowControl/>
        <w:tabs>
          <w:tab w:val="left" w:pos="-720"/>
        </w:tabs>
        <w:suppressAutoHyphens/>
        <w:jc w:val="both"/>
        <w:rPr>
          <w:rFonts w:ascii="Bookman Old Style" w:hAnsi="Bookman Old Style"/>
          <w:spacing w:val="-3"/>
          <w:sz w:val="26"/>
        </w:rPr>
      </w:pPr>
    </w:p>
    <w:p w:rsidR="00000000" w:rsidRDefault="007A7D3A">
      <w:pPr>
        <w:widowControl/>
        <w:tabs>
          <w:tab w:val="left" w:pos="-720"/>
        </w:tabs>
        <w:suppressAutoHyphens/>
        <w:jc w:val="both"/>
        <w:rPr>
          <w:rFonts w:ascii="Bookman Old Style" w:hAnsi="Bookman Old Style"/>
          <w:spacing w:val="-3"/>
          <w:sz w:val="26"/>
        </w:rPr>
      </w:pPr>
      <w:r>
        <w:rPr>
          <w:rFonts w:ascii="Bookman Old Style" w:hAnsi="Bookman Old Style"/>
          <w:spacing w:val="-3"/>
          <w:sz w:val="26"/>
        </w:rPr>
        <w:tab/>
        <w:t>It should be noted that the instruction might be omitted if the party who would be hurt by a claim of privilege believes that any instruction would</w:t>
      </w:r>
      <w:r>
        <w:rPr>
          <w:rFonts w:ascii="Bookman Old Style" w:hAnsi="Bookman Old Style"/>
          <w:spacing w:val="-3"/>
          <w:sz w:val="26"/>
        </w:rPr>
        <w:t xml:space="preserve"> unduly emphasize the fact that information was concealed from the jury.</w:t>
      </w:r>
    </w:p>
    <w:sectPr w:rsidR="00000000">
      <w:footerReference w:type="default" r:id="rId7"/>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7D3A">
      <w:pPr>
        <w:spacing w:line="20" w:lineRule="exact"/>
        <w:rPr>
          <w:sz w:val="24"/>
        </w:rPr>
      </w:pPr>
    </w:p>
  </w:endnote>
  <w:endnote w:type="continuationSeparator" w:id="0">
    <w:p w:rsidR="00000000" w:rsidRDefault="007A7D3A">
      <w:r>
        <w:rPr>
          <w:sz w:val="24"/>
        </w:rPr>
        <w:t xml:space="preserve"> </w:t>
      </w:r>
    </w:p>
  </w:endnote>
  <w:endnote w:type="continuationNotice" w:id="1">
    <w:p w:rsidR="00000000" w:rsidRDefault="007A7D3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7D3A">
    <w:pPr>
      <w:pStyle w:val="Footer"/>
      <w:tabs>
        <w:tab w:val="clear" w:pos="8640"/>
        <w:tab w:val="right" w:pos="9180"/>
      </w:tabs>
      <w:rPr>
        <w:rFonts w:ascii="Bookman Old Style" w:hAnsi="Bookman Old Style"/>
        <w:sz w:val="22"/>
      </w:rPr>
    </w:pPr>
    <w:r>
      <w:rPr>
        <w:rFonts w:ascii="Bookman Old Style" w:hAnsi="Bookman Old Style"/>
        <w:sz w:val="22"/>
      </w:rPr>
      <w:t>Added 1999</w:t>
    </w:r>
    <w:r>
      <w:rPr>
        <w:rFonts w:ascii="Bookman Old Style" w:hAnsi="Bookman Old Style"/>
        <w:sz w:val="22"/>
      </w:rPr>
      <w:tab/>
    </w:r>
    <w:r>
      <w:rPr>
        <w:rFonts w:ascii="Bookman Old Style" w:hAnsi="Bookman Old Style"/>
        <w:sz w:val="22"/>
      </w:rPr>
      <w:tab/>
      <w:t xml:space="preserve">Article 1A.11 - </w:t>
    </w:r>
    <w:r>
      <w:rPr>
        <w:rStyle w:val="PageNumber"/>
        <w:rFonts w:ascii="Bookman Old Style" w:hAnsi="Bookman Old Style"/>
        <w:sz w:val="22"/>
      </w:rPr>
      <w:fldChar w:fldCharType="begin"/>
    </w:r>
    <w:r>
      <w:rPr>
        <w:rStyle w:val="PageNumber"/>
        <w:rFonts w:ascii="Bookman Old Style" w:hAnsi="Bookman Old Style"/>
        <w:sz w:val="22"/>
      </w:rPr>
      <w:instrText xml:space="preserve"> PAGE </w:instrText>
    </w:r>
    <w:r>
      <w:rPr>
        <w:rStyle w:val="PageNumber"/>
        <w:rFonts w:ascii="Bookman Old Style" w:hAnsi="Bookman Old Style"/>
        <w:sz w:val="22"/>
      </w:rPr>
      <w:fldChar w:fldCharType="separate"/>
    </w:r>
    <w:r w:rsidR="008A61CB">
      <w:rPr>
        <w:rStyle w:val="PageNumber"/>
        <w:rFonts w:ascii="Bookman Old Style" w:hAnsi="Bookman Old Style"/>
        <w:noProof/>
        <w:sz w:val="22"/>
      </w:rPr>
      <w:t>1</w:t>
    </w:r>
    <w:r>
      <w:rPr>
        <w:rStyle w:val="PageNumber"/>
        <w:rFonts w:ascii="Bookman Old Style" w:hAnsi="Bookman Old Style"/>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7D3A">
      <w:r>
        <w:rPr>
          <w:sz w:val="24"/>
        </w:rPr>
        <w:separator/>
      </w:r>
    </w:p>
  </w:footnote>
  <w:footnote w:type="continuationSeparator" w:id="0">
    <w:p w:rsidR="00000000" w:rsidRDefault="007A7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1CB"/>
    <w:rsid w:val="007A7D3A"/>
    <w:rsid w:val="008A6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DefaultPara">
    <w:name w:val="Default Par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DefaultPara">
    <w:name w:val="Default Par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Draft 1</vt:lpstr>
    </vt:vector>
  </TitlesOfParts>
  <Company>Alaska Court System</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dc:title>
  <dc:subject/>
  <dc:creator>Robert Storm</dc:creator>
  <cp:keywords/>
  <cp:lastModifiedBy>Michael Merrington</cp:lastModifiedBy>
  <cp:revision>3</cp:revision>
  <cp:lastPrinted>2000-03-20T23:30:00Z</cp:lastPrinted>
  <dcterms:created xsi:type="dcterms:W3CDTF">2017-04-04T18:46:00Z</dcterms:created>
  <dcterms:modified xsi:type="dcterms:W3CDTF">2017-04-04T18:46:00Z</dcterms:modified>
</cp:coreProperties>
</file>