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649">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02.13</w:t>
      </w:r>
      <w:r>
        <w:rPr>
          <w:rFonts w:ascii="Bookman Old Style" w:hAnsi="Bookman Old Style"/>
          <w:sz w:val="26"/>
        </w:rPr>
        <w:tab/>
        <w:t>CLOSING INSTRUCTIONS — DEPOSITIONS GENERALLY</w:t>
      </w:r>
    </w:p>
    <w:p w:rsidR="00000000" w:rsidRDefault="007C5649">
      <w:pPr>
        <w:spacing w:line="360" w:lineRule="auto"/>
        <w:rPr>
          <w:rFonts w:ascii="Bookman Old Style" w:hAnsi="Bookman Old Style"/>
          <w:sz w:val="26"/>
        </w:rPr>
      </w:pPr>
    </w:p>
    <w:p w:rsidR="00000000" w:rsidRDefault="007C5649">
      <w:pPr>
        <w:spacing w:line="360" w:lineRule="auto"/>
        <w:rPr>
          <w:rFonts w:ascii="Bookman Old Style" w:hAnsi="Bookman Old Style"/>
          <w:sz w:val="26"/>
        </w:rPr>
      </w:pPr>
    </w:p>
    <w:p w:rsidR="00000000" w:rsidRDefault="007C5649">
      <w:pPr>
        <w:pStyle w:val="BodyText"/>
      </w:pPr>
      <w:r>
        <w:t xml:space="preserve">The testimony of [a witness] [some witnesses] was read to you from [a deposition] [depositions].  </w:t>
      </w:r>
    </w:p>
    <w:p w:rsidR="00000000" w:rsidRDefault="007C5649">
      <w:pPr>
        <w:spacing w:line="360" w:lineRule="auto"/>
        <w:rPr>
          <w:rFonts w:ascii="Bookman Old Style" w:hAnsi="Bookman Old Style"/>
          <w:sz w:val="26"/>
        </w:rPr>
      </w:pPr>
    </w:p>
    <w:p w:rsidR="00000000" w:rsidRDefault="007C5649">
      <w:pPr>
        <w:pStyle w:val="BodyTextIndent3"/>
        <w:spacing w:line="360" w:lineRule="auto"/>
        <w:ind w:firstLine="0"/>
        <w:rPr>
          <w:rFonts w:ascii="Bookman Old Style" w:hAnsi="Bookman Old Style"/>
          <w:sz w:val="26"/>
        </w:rPr>
      </w:pPr>
      <w:r>
        <w:rPr>
          <w:rFonts w:ascii="Bookman Old Style" w:hAnsi="Bookman Old Style"/>
          <w:sz w:val="26"/>
        </w:rPr>
        <w:t>When a deposition is taken, the witness takes an oath that is identical in purpose to the oath given to</w:t>
      </w:r>
      <w:r>
        <w:rPr>
          <w:rFonts w:ascii="Bookman Old Style" w:hAnsi="Bookman Old Style"/>
          <w:sz w:val="26"/>
        </w:rPr>
        <w:t xml:space="preserve"> the witnesses who testify before you here in the courtroom. All parties are given an opportunity to ask questions of a witness during a deposition [although some parties may have chosen not to ask any questions].  </w:t>
      </w:r>
    </w:p>
    <w:p w:rsidR="00000000" w:rsidRDefault="007C5649">
      <w:pPr>
        <w:spacing w:line="360" w:lineRule="auto"/>
        <w:ind w:firstLine="720"/>
        <w:rPr>
          <w:rFonts w:ascii="Bookman Old Style" w:hAnsi="Bookman Old Style"/>
          <w:sz w:val="26"/>
        </w:rPr>
      </w:pPr>
    </w:p>
    <w:p w:rsidR="00000000" w:rsidRDefault="007C5649">
      <w:pPr>
        <w:pStyle w:val="BodyTextIndent2"/>
        <w:spacing w:line="360" w:lineRule="auto"/>
        <w:ind w:firstLine="0"/>
        <w:rPr>
          <w:rFonts w:ascii="Bookman Old Style" w:hAnsi="Bookman Old Style"/>
          <w:sz w:val="26"/>
        </w:rPr>
      </w:pPr>
      <w:r>
        <w:rPr>
          <w:rFonts w:ascii="Bookman Old Style" w:hAnsi="Bookman Old Style"/>
          <w:sz w:val="26"/>
        </w:rPr>
        <w:t>The law does not distinguish between de</w:t>
      </w:r>
      <w:r>
        <w:rPr>
          <w:rFonts w:ascii="Bookman Old Style" w:hAnsi="Bookman Old Style"/>
          <w:sz w:val="26"/>
        </w:rPr>
        <w:t>position testimony and live testimony.  Both are valid forms of testimony. Deposition testimony should be weighed by you as you would any other testimony.  However, you may consider that you have not seen and heard the witness testify.  It is for you to de</w:t>
      </w:r>
      <w:r>
        <w:rPr>
          <w:rFonts w:ascii="Bookman Old Style" w:hAnsi="Bookman Old Style"/>
          <w:sz w:val="26"/>
        </w:rPr>
        <w:t>cide whether this is significant.</w:t>
      </w:r>
    </w:p>
    <w:p w:rsidR="00000000" w:rsidRDefault="007C5649">
      <w:pPr>
        <w:spacing w:line="360" w:lineRule="auto"/>
        <w:ind w:firstLine="720"/>
        <w:rPr>
          <w:rFonts w:ascii="Bookman Old Style" w:hAnsi="Bookman Old Style"/>
          <w:sz w:val="26"/>
        </w:rPr>
      </w:pPr>
    </w:p>
    <w:p w:rsidR="00000000" w:rsidRDefault="007C5649">
      <w:pPr>
        <w:spacing w:line="360" w:lineRule="auto"/>
        <w:ind w:firstLine="720"/>
        <w:rPr>
          <w:rFonts w:ascii="Bookman Old Style" w:hAnsi="Bookman Old Style"/>
          <w:sz w:val="26"/>
        </w:rPr>
      </w:pPr>
    </w:p>
    <w:p w:rsidR="00000000" w:rsidRDefault="007C5649">
      <w:pPr>
        <w:pStyle w:val="Heading1"/>
        <w:spacing w:line="240" w:lineRule="auto"/>
        <w:rPr>
          <w:rFonts w:ascii="Bookman Old Style" w:hAnsi="Bookman Old Style"/>
          <w:sz w:val="26"/>
        </w:rPr>
      </w:pPr>
      <w:r>
        <w:rPr>
          <w:rFonts w:ascii="Bookman Old Style" w:hAnsi="Bookman Old Style"/>
          <w:sz w:val="26"/>
        </w:rPr>
        <w:t>Use Note</w:t>
      </w:r>
    </w:p>
    <w:p w:rsidR="00000000" w:rsidRDefault="007C5649"/>
    <w:p w:rsidR="00000000" w:rsidRDefault="007C5649">
      <w:pPr>
        <w:rPr>
          <w:rFonts w:ascii="Bookman Old Style" w:hAnsi="Bookman Old Style"/>
          <w:sz w:val="26"/>
        </w:rPr>
      </w:pPr>
      <w:r>
        <w:rPr>
          <w:rFonts w:ascii="Bookman Old Style" w:hAnsi="Bookman Old Style"/>
          <w:sz w:val="26"/>
        </w:rPr>
        <w:t>This is the standard instruction to be used when deposition evidence is introduced under Alaska R. Civ. P. 32(a).  When a videotaped deposition is utilized, Instruction 02.14 should be used instead of this inst</w:t>
      </w:r>
      <w:r>
        <w:rPr>
          <w:rFonts w:ascii="Bookman Old Style" w:hAnsi="Bookman Old Style"/>
          <w:sz w:val="26"/>
        </w:rPr>
        <w:t>ruction.  Sound recordings are covered by Instruction 2.15.  If more than one deposition is read to the jury, the plural form of the instruction should be used.</w:t>
      </w:r>
    </w:p>
    <w:p w:rsidR="00000000" w:rsidRDefault="007C5649">
      <w:pPr>
        <w:rPr>
          <w:rFonts w:ascii="Bookman Old Style" w:hAnsi="Bookman Old Style"/>
          <w:sz w:val="26"/>
        </w:rPr>
      </w:pPr>
    </w:p>
    <w:p w:rsidR="00000000" w:rsidRDefault="007C5649">
      <w:pPr>
        <w:rPr>
          <w:rFonts w:ascii="Bookman Old Style" w:hAnsi="Bookman Old Style"/>
          <w:sz w:val="26"/>
        </w:rPr>
      </w:pPr>
      <w:r>
        <w:rPr>
          <w:rFonts w:ascii="Bookman Old Style" w:hAnsi="Bookman Old Style"/>
          <w:sz w:val="26"/>
        </w:rPr>
        <w:t>If one party had an opportunity to ask questions during a deposition but chose not to do so, t</w:t>
      </w:r>
      <w:r>
        <w:rPr>
          <w:rFonts w:ascii="Bookman Old Style" w:hAnsi="Bookman Old Style"/>
          <w:sz w:val="26"/>
        </w:rPr>
        <w:t>he trial court should include the bracketed clause in the second paragraph.</w:t>
      </w:r>
    </w:p>
    <w:p w:rsidR="00000000" w:rsidRDefault="007C5649">
      <w:pPr>
        <w:rPr>
          <w:rFonts w:ascii="Bookman Old Style" w:hAnsi="Bookman Old Style"/>
          <w:sz w:val="26"/>
        </w:rPr>
      </w:pPr>
    </w:p>
    <w:p w:rsidR="00000000" w:rsidRDefault="007C5649">
      <w:pPr>
        <w:rPr>
          <w:rFonts w:ascii="Bookman Old Style" w:hAnsi="Bookman Old Style"/>
          <w:sz w:val="26"/>
        </w:rPr>
      </w:pPr>
    </w:p>
    <w:p w:rsidR="00000000" w:rsidRDefault="007C5649">
      <w:pPr>
        <w:pStyle w:val="Heading1"/>
        <w:spacing w:line="240" w:lineRule="auto"/>
        <w:rPr>
          <w:rFonts w:ascii="Bookman Old Style" w:hAnsi="Bookman Old Style"/>
          <w:sz w:val="26"/>
        </w:rPr>
      </w:pPr>
      <w:r>
        <w:rPr>
          <w:rFonts w:ascii="Bookman Old Style" w:hAnsi="Bookman Old Style"/>
          <w:sz w:val="26"/>
        </w:rPr>
        <w:lastRenderedPageBreak/>
        <w:t>Comment</w:t>
      </w:r>
    </w:p>
    <w:p w:rsidR="00000000" w:rsidRDefault="007C5649">
      <w:pPr>
        <w:rPr>
          <w:rFonts w:ascii="Bookman Old Style" w:hAnsi="Bookman Old Style"/>
          <w:sz w:val="26"/>
        </w:rPr>
      </w:pPr>
    </w:p>
    <w:p w:rsidR="00000000" w:rsidRDefault="007C5649">
      <w:pPr>
        <w:rPr>
          <w:rFonts w:ascii="Bookman Old Style" w:hAnsi="Bookman Old Style"/>
          <w:sz w:val="26"/>
        </w:rPr>
      </w:pPr>
      <w:r>
        <w:rPr>
          <w:rFonts w:ascii="Bookman Old Style" w:hAnsi="Bookman Old Style"/>
          <w:sz w:val="26"/>
        </w:rPr>
        <w:t xml:space="preserve">Alaska R. Civ. P. 32(a) permits depositions to be used “as though the witness were then present and testifying” if the deposition satisfies Rule 32 and the Alaska Rules </w:t>
      </w:r>
      <w:r>
        <w:rPr>
          <w:rFonts w:ascii="Bookman Old Style" w:hAnsi="Bookman Old Style"/>
          <w:sz w:val="26"/>
        </w:rPr>
        <w:t>of Evidence.  Some Alaska trial courts have instructed juries that depositions are to be given the same effect as testimony presented in court.  Such instructions tend to deny the jury the opportunity to consider the absence of demeanor evidence in assessi</w:t>
      </w:r>
      <w:r>
        <w:rPr>
          <w:rFonts w:ascii="Bookman Old Style" w:hAnsi="Bookman Old Style"/>
          <w:sz w:val="26"/>
        </w:rPr>
        <w:t>ng the weight to be given different pieces of evidence.  This instruction tells the jury that it can consider the fact that it has had no opportunity to see and hear the person deposed.  Thus, the deposition can be used like testimony, but the jury is told</w:t>
      </w:r>
      <w:r>
        <w:rPr>
          <w:rFonts w:ascii="Bookman Old Style" w:hAnsi="Bookman Old Style"/>
          <w:sz w:val="26"/>
        </w:rPr>
        <w:t xml:space="preserve"> that it may consider the absence of demeanor evidence when weighing the deposition testimony.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Patterson v. Cushman</w:t>
      </w:r>
      <w:r>
        <w:rPr>
          <w:rFonts w:ascii="Bookman Old Style" w:hAnsi="Bookman Old Style"/>
          <w:sz w:val="26"/>
        </w:rPr>
        <w:t>, 394 P.2d 657 (Alaska 1964).</w:t>
      </w:r>
    </w:p>
    <w:p w:rsidR="00000000" w:rsidRDefault="007C5649">
      <w:pPr>
        <w:rPr>
          <w:rFonts w:ascii="Bookman Old Style" w:hAnsi="Bookman Old Style"/>
          <w:sz w:val="26"/>
        </w:rPr>
      </w:pPr>
    </w:p>
    <w:sectPr w:rsidR="00000000">
      <w:footerReference w:type="even" r:id="rId7"/>
      <w:footerReference w:type="default" r:id="rId8"/>
      <w:type w:val="continuous"/>
      <w:pgSz w:w="12240" w:h="15840" w:code="1"/>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649">
      <w:r>
        <w:separator/>
      </w:r>
    </w:p>
  </w:endnote>
  <w:endnote w:type="continuationSeparator" w:id="0">
    <w:p w:rsidR="00000000" w:rsidRDefault="007C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C56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649">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02.13 -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400B7D">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649">
      <w:r>
        <w:separator/>
      </w:r>
    </w:p>
  </w:footnote>
  <w:footnote w:type="continuationSeparator" w:id="0">
    <w:p w:rsidR="00000000" w:rsidRDefault="007C5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7D"/>
    <w:rsid w:val="00400B7D"/>
    <w:rsid w:val="007C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Indent2">
    <w:name w:val="Body Text Indent 2"/>
    <w:basedOn w:val="Normal"/>
    <w:semiHidden/>
    <w:pPr>
      <w:spacing w:line="420" w:lineRule="auto"/>
      <w:ind w:firstLine="720"/>
    </w:pPr>
    <w:rPr>
      <w:rFonts w:ascii="Courier New" w:hAnsi="Courier New"/>
    </w:rPr>
  </w:style>
  <w:style w:type="paragraph" w:styleId="BodyTextIndent3">
    <w:name w:val="Body Text Indent 3"/>
    <w:basedOn w:val="Normal"/>
    <w:semiHidden/>
    <w:pPr>
      <w:spacing w:line="420" w:lineRule="auto"/>
      <w:ind w:firstLine="1440"/>
    </w:pPr>
    <w:rPr>
      <w:rFonts w:ascii="Courier New" w:hAnsi="Courier New"/>
    </w:rPr>
  </w:style>
  <w:style w:type="character" w:styleId="PageNumber">
    <w:name w:val="page number"/>
    <w:basedOn w:val="DefaultParagraphFont"/>
    <w:semiHidden/>
  </w:style>
  <w:style w:type="paragraph" w:styleId="BodyText">
    <w:name w:val="Body Text"/>
    <w:basedOn w:val="Normal"/>
    <w:semiHidden/>
    <w:pPr>
      <w:spacing w:line="360" w:lineRule="auto"/>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Indent2">
    <w:name w:val="Body Text Indent 2"/>
    <w:basedOn w:val="Normal"/>
    <w:semiHidden/>
    <w:pPr>
      <w:spacing w:line="420" w:lineRule="auto"/>
      <w:ind w:firstLine="720"/>
    </w:pPr>
    <w:rPr>
      <w:rFonts w:ascii="Courier New" w:hAnsi="Courier New"/>
    </w:rPr>
  </w:style>
  <w:style w:type="paragraph" w:styleId="BodyTextIndent3">
    <w:name w:val="Body Text Indent 3"/>
    <w:basedOn w:val="Normal"/>
    <w:semiHidden/>
    <w:pPr>
      <w:spacing w:line="420" w:lineRule="auto"/>
      <w:ind w:firstLine="1440"/>
    </w:pPr>
    <w:rPr>
      <w:rFonts w:ascii="Courier New" w:hAnsi="Courier New"/>
    </w:rPr>
  </w:style>
  <w:style w:type="character" w:styleId="PageNumber">
    <w:name w:val="page number"/>
    <w:basedOn w:val="DefaultParagraphFont"/>
    <w:semiHidden/>
  </w:style>
  <w:style w:type="paragraph" w:styleId="BodyText">
    <w:name w:val="Body Text"/>
    <w:basedOn w:val="Normal"/>
    <w:semiHidden/>
    <w:pPr>
      <w:spacing w:line="360" w:lineRule="auto"/>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2000-09-06T00:01:00Z</cp:lastPrinted>
  <dcterms:created xsi:type="dcterms:W3CDTF">2017-04-04T18:46:00Z</dcterms:created>
  <dcterms:modified xsi:type="dcterms:W3CDTF">2017-04-04T18:46:00Z</dcterms:modified>
</cp:coreProperties>
</file>