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1DD8">
      <w:pPr>
        <w:pStyle w:val="BodyTextIndent"/>
        <w:spacing w:line="360" w:lineRule="auto"/>
        <w:ind w:left="1440" w:hanging="1440"/>
        <w:rPr>
          <w:rFonts w:ascii="Bookman Old Style" w:hAnsi="Bookman Old Style"/>
          <w:sz w:val="26"/>
        </w:rPr>
      </w:pPr>
      <w:bookmarkStart w:id="0" w:name="_GoBack"/>
      <w:bookmarkEnd w:id="0"/>
      <w:r>
        <w:rPr>
          <w:rFonts w:ascii="Bookman Old Style" w:hAnsi="Bookman Old Style"/>
          <w:sz w:val="26"/>
        </w:rPr>
        <w:t>02.15</w:t>
      </w:r>
      <w:r>
        <w:rPr>
          <w:rFonts w:ascii="Bookman Old Style" w:hAnsi="Bookman Old Style"/>
          <w:sz w:val="26"/>
        </w:rPr>
        <w:tab/>
        <w:t>CLOSING INSTRUCTIONS — AUDIOTAPE DEPOSITIONS</w:t>
      </w:r>
    </w:p>
    <w:p w:rsidR="00000000" w:rsidRDefault="00DF1DD8">
      <w:pPr>
        <w:spacing w:line="360" w:lineRule="auto"/>
        <w:rPr>
          <w:rFonts w:ascii="Bookman Old Style" w:hAnsi="Bookman Old Style"/>
          <w:sz w:val="26"/>
        </w:rPr>
      </w:pPr>
    </w:p>
    <w:p w:rsidR="00000000" w:rsidRDefault="00DF1DD8">
      <w:pPr>
        <w:spacing w:line="360" w:lineRule="auto"/>
        <w:rPr>
          <w:rFonts w:ascii="Bookman Old Style" w:hAnsi="Bookman Old Style"/>
          <w:sz w:val="26"/>
        </w:rPr>
      </w:pPr>
    </w:p>
    <w:p w:rsidR="00000000" w:rsidRDefault="00DF1DD8">
      <w:pPr>
        <w:pStyle w:val="BodyText"/>
      </w:pPr>
      <w:r>
        <w:t>The deposition testimony of [one witness] [some witnesses] was played to you on audiotape.</w:t>
      </w:r>
    </w:p>
    <w:p w:rsidR="00000000" w:rsidRDefault="00DF1DD8">
      <w:pPr>
        <w:spacing w:line="360" w:lineRule="auto"/>
        <w:rPr>
          <w:rFonts w:ascii="Bookman Old Style" w:hAnsi="Bookman Old Style"/>
          <w:sz w:val="26"/>
        </w:rPr>
      </w:pPr>
    </w:p>
    <w:p w:rsidR="00000000" w:rsidRDefault="00DF1DD8">
      <w:pPr>
        <w:spacing w:line="360" w:lineRule="auto"/>
        <w:rPr>
          <w:rFonts w:ascii="Bookman Old Style" w:hAnsi="Bookman Old Style"/>
          <w:sz w:val="26"/>
        </w:rPr>
      </w:pPr>
      <w:r>
        <w:rPr>
          <w:rFonts w:ascii="Bookman Old Style" w:hAnsi="Bookman Old Style"/>
          <w:sz w:val="26"/>
        </w:rPr>
        <w:t>[When a deposition is taken, the witness takes an oath that is identical in purpose to the oath given to the wi</w:t>
      </w:r>
      <w:r>
        <w:rPr>
          <w:rFonts w:ascii="Bookman Old Style" w:hAnsi="Bookman Old Style"/>
          <w:sz w:val="26"/>
        </w:rPr>
        <w:t>tnesses who testify before you in the courtroom. All parties are given an opportunity to ask questions of a witness during a deposition [although some parties may have chosen not to do so].]</w:t>
      </w:r>
    </w:p>
    <w:p w:rsidR="00000000" w:rsidRDefault="00DF1DD8">
      <w:pPr>
        <w:spacing w:line="360" w:lineRule="auto"/>
        <w:rPr>
          <w:rFonts w:ascii="Bookman Old Style" w:hAnsi="Bookman Old Style"/>
          <w:sz w:val="26"/>
        </w:rPr>
      </w:pPr>
    </w:p>
    <w:p w:rsidR="00000000" w:rsidRDefault="00DF1DD8">
      <w:pPr>
        <w:pStyle w:val="blockquote"/>
        <w:spacing w:line="360" w:lineRule="auto"/>
        <w:ind w:left="0" w:right="0"/>
        <w:rPr>
          <w:rFonts w:ascii="Bookman Old Style" w:hAnsi="Bookman Old Style"/>
          <w:sz w:val="26"/>
        </w:rPr>
      </w:pPr>
      <w:r>
        <w:rPr>
          <w:rFonts w:ascii="Bookman Old Style" w:hAnsi="Bookman Old Style"/>
          <w:sz w:val="26"/>
        </w:rPr>
        <w:t>The law does not distinguish between audiotape testimony and liv</w:t>
      </w:r>
      <w:r>
        <w:rPr>
          <w:rFonts w:ascii="Bookman Old Style" w:hAnsi="Bookman Old Style"/>
          <w:sz w:val="26"/>
        </w:rPr>
        <w:t>e testimony.  Both are valid forms of testimony. Audiotape testimony should be weighed by you as you would any other testimony.  However, you may consider that you have not seen the witness testify.  It is for you to decide whether this is significant.</w:t>
      </w:r>
    </w:p>
    <w:p w:rsidR="00000000" w:rsidRDefault="00DF1DD8">
      <w:pPr>
        <w:spacing w:line="360" w:lineRule="auto"/>
        <w:rPr>
          <w:rFonts w:ascii="Bookman Old Style" w:hAnsi="Bookman Old Style"/>
          <w:sz w:val="26"/>
        </w:rPr>
      </w:pPr>
    </w:p>
    <w:p w:rsidR="00000000" w:rsidRDefault="00DF1DD8">
      <w:pPr>
        <w:pStyle w:val="Heading1"/>
        <w:spacing w:line="240" w:lineRule="auto"/>
        <w:rPr>
          <w:rFonts w:ascii="Bookman Old Style" w:hAnsi="Bookman Old Style"/>
          <w:sz w:val="26"/>
        </w:rPr>
      </w:pPr>
    </w:p>
    <w:p w:rsidR="00000000" w:rsidRDefault="00DF1DD8">
      <w:pPr>
        <w:pStyle w:val="Heading1"/>
        <w:spacing w:line="240" w:lineRule="auto"/>
        <w:rPr>
          <w:rFonts w:ascii="Bookman Old Style" w:hAnsi="Bookman Old Style"/>
          <w:sz w:val="26"/>
        </w:rPr>
      </w:pPr>
      <w:r>
        <w:rPr>
          <w:rFonts w:ascii="Bookman Old Style" w:hAnsi="Bookman Old Style"/>
          <w:sz w:val="26"/>
        </w:rPr>
        <w:t>U</w:t>
      </w:r>
      <w:r>
        <w:rPr>
          <w:rFonts w:ascii="Bookman Old Style" w:hAnsi="Bookman Old Style"/>
          <w:sz w:val="26"/>
        </w:rPr>
        <w:t>se Note</w:t>
      </w:r>
    </w:p>
    <w:p w:rsidR="00000000" w:rsidRDefault="00DF1DD8"/>
    <w:p w:rsidR="00000000" w:rsidRDefault="00DF1DD8">
      <w:pPr>
        <w:rPr>
          <w:rFonts w:ascii="Bookman Old Style" w:hAnsi="Bookman Old Style"/>
          <w:sz w:val="26"/>
        </w:rPr>
      </w:pPr>
      <w:r>
        <w:rPr>
          <w:rFonts w:ascii="Bookman Old Style" w:hAnsi="Bookman Old Style"/>
          <w:sz w:val="26"/>
        </w:rPr>
        <w:t>This instruction should be used when tape-recorded depositions are played for the jury.  If the only depositions in a case are tape recorded, this instruction should be given exclusively; and Instructions 02.13 and 02.14 should not be given.  If o</w:t>
      </w:r>
      <w:r>
        <w:rPr>
          <w:rFonts w:ascii="Bookman Old Style" w:hAnsi="Bookman Old Style"/>
          <w:sz w:val="26"/>
        </w:rPr>
        <w:t>nly tape-recorded depositions are used, then the bracketed paragraph of this instruction should be given.  If other forms of deposition also are used at trial, then either Instruction 02.13 or Instruction 02.14, or both, should be used, and the bracketed p</w:t>
      </w:r>
      <w:r>
        <w:rPr>
          <w:rFonts w:ascii="Bookman Old Style" w:hAnsi="Bookman Old Style"/>
          <w:sz w:val="26"/>
        </w:rPr>
        <w:t xml:space="preserve">aragraph of this instruction should not be given. </w:t>
      </w:r>
    </w:p>
    <w:p w:rsidR="00000000" w:rsidRDefault="00DF1DD8">
      <w:pPr>
        <w:rPr>
          <w:rFonts w:ascii="Bookman Old Style" w:hAnsi="Bookman Old Style"/>
          <w:sz w:val="26"/>
        </w:rPr>
      </w:pPr>
    </w:p>
    <w:p w:rsidR="00000000" w:rsidRDefault="00DF1DD8">
      <w:pPr>
        <w:rPr>
          <w:rFonts w:ascii="Bookman Old Style" w:hAnsi="Bookman Old Style"/>
          <w:sz w:val="26"/>
        </w:rPr>
      </w:pPr>
      <w:r>
        <w:rPr>
          <w:rFonts w:ascii="Bookman Old Style" w:hAnsi="Bookman Old Style"/>
          <w:sz w:val="26"/>
        </w:rPr>
        <w:t>If one party had an opportunity to ask questions during a deposition but chose not to do so, the trial court should include the bracketed clause in the second paragraph.</w:t>
      </w:r>
    </w:p>
    <w:p w:rsidR="00000000" w:rsidRDefault="00DF1DD8">
      <w:pPr>
        <w:pStyle w:val="Heading1"/>
        <w:spacing w:line="240" w:lineRule="auto"/>
        <w:rPr>
          <w:rFonts w:ascii="Bookman Old Style" w:hAnsi="Bookman Old Style"/>
          <w:sz w:val="26"/>
        </w:rPr>
      </w:pPr>
      <w:r>
        <w:rPr>
          <w:rFonts w:ascii="Bookman Old Style" w:hAnsi="Bookman Old Style"/>
          <w:sz w:val="26"/>
        </w:rPr>
        <w:lastRenderedPageBreak/>
        <w:t>Comment</w:t>
      </w:r>
    </w:p>
    <w:p w:rsidR="00000000" w:rsidRDefault="00DF1DD8">
      <w:pPr>
        <w:rPr>
          <w:rFonts w:ascii="Bookman Old Style" w:hAnsi="Bookman Old Style"/>
          <w:sz w:val="26"/>
        </w:rPr>
      </w:pPr>
    </w:p>
    <w:p w:rsidR="00000000" w:rsidRDefault="00DF1DD8">
      <w:pPr>
        <w:rPr>
          <w:rFonts w:ascii="Bookman Old Style" w:hAnsi="Bookman Old Style"/>
          <w:sz w:val="26"/>
        </w:rPr>
      </w:pPr>
      <w:r>
        <w:rPr>
          <w:rFonts w:ascii="Bookman Old Style" w:hAnsi="Bookman Old Style"/>
          <w:sz w:val="26"/>
        </w:rPr>
        <w:t>Alaska R. Civ. P. 30(b)(4</w:t>
      </w:r>
      <w:r>
        <w:rPr>
          <w:rFonts w:ascii="Bookman Old Style" w:hAnsi="Bookman Old Style"/>
          <w:sz w:val="26"/>
        </w:rPr>
        <w:t>) authorizes a court to take a deposition by audio and audiovisual means.  The rule includes detailed provisions concerning the taking of such depositions.  Such a deposition can be used by any party for any purpose at trial.  Alaska R. Civ. P. 32(a)(3)(F)</w:t>
      </w:r>
      <w:r>
        <w:rPr>
          <w:rFonts w:ascii="Bookman Old Style" w:hAnsi="Bookman Old Style"/>
          <w:sz w:val="26"/>
        </w:rPr>
        <w:t>.</w:t>
      </w:r>
    </w:p>
    <w:p w:rsidR="00000000" w:rsidRDefault="00DF1DD8">
      <w:pPr>
        <w:rPr>
          <w:rFonts w:ascii="Bookman Old Style" w:hAnsi="Bookman Old Style"/>
          <w:sz w:val="26"/>
        </w:rPr>
      </w:pPr>
    </w:p>
    <w:p w:rsidR="00000000" w:rsidRDefault="00DF1DD8">
      <w:pPr>
        <w:rPr>
          <w:rFonts w:ascii="Bookman Old Style" w:hAnsi="Bookman Old Style"/>
          <w:sz w:val="26"/>
        </w:rPr>
      </w:pP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also</w:t>
      </w:r>
      <w:r>
        <w:rPr>
          <w:rFonts w:ascii="Bookman Old Style" w:hAnsi="Bookman Old Style"/>
          <w:sz w:val="26"/>
        </w:rPr>
        <w:t xml:space="preserve"> Comment to Instruction 02.14.</w:t>
      </w:r>
    </w:p>
    <w:sectPr w:rsidR="00000000">
      <w:headerReference w:type="default" r:id="rId7"/>
      <w:footerReference w:type="even" r:id="rId8"/>
      <w:footerReference w:type="default" r:id="rId9"/>
      <w:type w:val="continuous"/>
      <w:pgSz w:w="12240" w:h="15840"/>
      <w:pgMar w:top="1440" w:right="1440" w:bottom="1440" w:left="1440"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1DD8">
      <w:r>
        <w:separator/>
      </w:r>
    </w:p>
  </w:endnote>
  <w:endnote w:type="continuationSeparator" w:id="0">
    <w:p w:rsidR="00000000" w:rsidRDefault="00DF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1D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DF1D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1DD8">
    <w:pPr>
      <w:pStyle w:val="Footer"/>
      <w:framePr w:wrap="around" w:vAnchor="text" w:hAnchor="margin" w:xAlign="right" w:y="1"/>
      <w:rPr>
        <w:rStyle w:val="PageNumber"/>
        <w:rFonts w:ascii="Courier New" w:hAnsi="Courier New"/>
      </w:rPr>
    </w:pPr>
  </w:p>
  <w:p w:rsidR="00000000" w:rsidRDefault="00DF1DD8">
    <w:pPr>
      <w:pStyle w:val="Footer"/>
      <w:tabs>
        <w:tab w:val="clear" w:pos="8640"/>
        <w:tab w:val="right" w:pos="9360"/>
      </w:tabs>
      <w:ind w:right="360"/>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 xml:space="preserve">02.15 -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E677B9">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1DD8">
      <w:r>
        <w:separator/>
      </w:r>
    </w:p>
  </w:footnote>
  <w:footnote w:type="continuationSeparator" w:id="0">
    <w:p w:rsidR="00000000" w:rsidRDefault="00DF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1DD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B9"/>
    <w:rsid w:val="00DF1DD8"/>
    <w:rsid w:val="00E6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character" w:styleId="PageNumber">
    <w:name w:val="page number"/>
    <w:basedOn w:val="DefaultParagraphFont"/>
    <w:semiHidden/>
  </w:style>
  <w:style w:type="paragraph" w:styleId="BodyText">
    <w:name w:val="Body Text"/>
    <w:basedOn w:val="Normal"/>
    <w:semiHidden/>
    <w:pPr>
      <w:spacing w:line="360" w:lineRule="auto"/>
    </w:pPr>
    <w:rPr>
      <w:rFonts w:ascii="Bookman Old Style" w:hAnsi="Bookman Old Styl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character" w:styleId="PageNumber">
    <w:name w:val="page number"/>
    <w:basedOn w:val="DefaultParagraphFont"/>
    <w:semiHidden/>
  </w:style>
  <w:style w:type="paragraph" w:styleId="BodyText">
    <w:name w:val="Body Text"/>
    <w:basedOn w:val="Normal"/>
    <w:semiHidden/>
    <w:pPr>
      <w:spacing w:line="360" w:lineRule="auto"/>
    </w:pPr>
    <w:rPr>
      <w:rFonts w:ascii="Bookman Old Style"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vt:lpstr>
    </vt:vector>
  </TitlesOfParts>
  <Company>Alaska Court System</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jdooros</dc:creator>
  <cp:keywords/>
  <cp:lastModifiedBy>Michael Merrington</cp:lastModifiedBy>
  <cp:revision>3</cp:revision>
  <cp:lastPrinted>2000-09-06T00:05:00Z</cp:lastPrinted>
  <dcterms:created xsi:type="dcterms:W3CDTF">2017-04-04T18:46:00Z</dcterms:created>
  <dcterms:modified xsi:type="dcterms:W3CDTF">2017-04-04T18:46:00Z</dcterms:modified>
</cp:coreProperties>
</file>