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73A41">
      <w:pPr>
        <w:pStyle w:val="BodyTextIndent"/>
        <w:spacing w:line="360" w:lineRule="auto"/>
        <w:rPr>
          <w:rFonts w:ascii="Bookman Old Style" w:hAnsi="Bookman Old Style"/>
          <w:sz w:val="26"/>
        </w:rPr>
      </w:pPr>
      <w:bookmarkStart w:id="0" w:name="_GoBack"/>
      <w:bookmarkEnd w:id="0"/>
      <w:r>
        <w:rPr>
          <w:rFonts w:ascii="Bookman Old Style" w:hAnsi="Bookman Old Style"/>
          <w:sz w:val="26"/>
        </w:rPr>
        <w:t>02.18</w:t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  <w:t>CLOSING INSTRUCTIONS — VIEWS</w:t>
      </w:r>
    </w:p>
    <w:p w:rsidR="00000000" w:rsidRDefault="00B73A41">
      <w:pPr>
        <w:spacing w:line="360" w:lineRule="auto"/>
        <w:rPr>
          <w:rFonts w:ascii="Bookman Old Style" w:hAnsi="Bookman Old Style"/>
          <w:sz w:val="26"/>
        </w:rPr>
      </w:pPr>
    </w:p>
    <w:p w:rsidR="00000000" w:rsidRDefault="00B73A41">
      <w:pPr>
        <w:spacing w:line="360" w:lineRule="auto"/>
        <w:rPr>
          <w:rFonts w:ascii="Bookman Old Style" w:hAnsi="Bookman Old Style"/>
          <w:sz w:val="26"/>
        </w:rPr>
      </w:pPr>
    </w:p>
    <w:p w:rsidR="00000000" w:rsidRDefault="00B73A41">
      <w:pPr>
        <w:spacing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During the trial you were permitted to visit (insert description of the premises).  In your deliberations, you may take into account what you observed at [place].</w:t>
      </w:r>
    </w:p>
    <w:p w:rsidR="00000000" w:rsidRDefault="00B73A41">
      <w:pPr>
        <w:spacing w:line="360" w:lineRule="auto"/>
        <w:rPr>
          <w:rFonts w:ascii="Bookman Old Style" w:hAnsi="Bookman Old Style"/>
          <w:sz w:val="26"/>
        </w:rPr>
      </w:pPr>
    </w:p>
    <w:p w:rsidR="00000000" w:rsidRDefault="00B73A41">
      <w:pPr>
        <w:pStyle w:val="Heading1"/>
        <w:spacing w:line="240" w:lineRule="auto"/>
        <w:rPr>
          <w:rFonts w:ascii="Bookman Old Style" w:hAnsi="Bookman Old Style"/>
          <w:sz w:val="26"/>
        </w:rPr>
      </w:pPr>
    </w:p>
    <w:p w:rsidR="00000000" w:rsidRDefault="00B73A41">
      <w:pPr>
        <w:pStyle w:val="Heading1"/>
        <w:spacing w:line="24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Use Note</w:t>
      </w:r>
    </w:p>
    <w:p w:rsidR="00000000" w:rsidRDefault="00B73A41">
      <w:pPr>
        <w:rPr>
          <w:rFonts w:ascii="Bookman Old Style" w:hAnsi="Bookman Old Style"/>
          <w:sz w:val="26"/>
        </w:rPr>
      </w:pPr>
    </w:p>
    <w:p w:rsidR="00000000" w:rsidRDefault="00B73A41">
      <w:pPr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This instruction only need be given when th</w:t>
      </w:r>
      <w:r>
        <w:rPr>
          <w:rFonts w:ascii="Bookman Old Style" w:hAnsi="Bookman Old Style"/>
          <w:sz w:val="26"/>
        </w:rPr>
        <w:t>e jury was permitted to have a view, which is controlled by Alaska R. Civ. P. 48(c).</w:t>
      </w:r>
    </w:p>
    <w:p w:rsidR="00000000" w:rsidRDefault="00B73A41">
      <w:pPr>
        <w:rPr>
          <w:rFonts w:ascii="Bookman Old Style" w:hAnsi="Bookman Old Style"/>
          <w:sz w:val="26"/>
        </w:rPr>
      </w:pPr>
    </w:p>
    <w:p w:rsidR="00000000" w:rsidRDefault="00B73A41">
      <w:pPr>
        <w:pStyle w:val="Heading1"/>
        <w:spacing w:line="24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Comment</w:t>
      </w:r>
    </w:p>
    <w:p w:rsidR="00000000" w:rsidRDefault="00B73A41">
      <w:pPr>
        <w:rPr>
          <w:rFonts w:ascii="Bookman Old Style" w:hAnsi="Bookman Old Style"/>
          <w:sz w:val="26"/>
        </w:rPr>
      </w:pPr>
    </w:p>
    <w:p w:rsidR="00000000" w:rsidRDefault="00B73A41">
      <w:pPr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In some jurisdictions a view is deemed to be something other than evidence.  The jury is told that it can consider the view as it helps in understanding the evid</w:t>
      </w:r>
      <w:r>
        <w:rPr>
          <w:rFonts w:ascii="Bookman Old Style" w:hAnsi="Bookman Old Style"/>
          <w:sz w:val="26"/>
        </w:rPr>
        <w:t xml:space="preserve">ence, but that the view itself is not additional evidence. 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R. </w:t>
      </w:r>
      <w:proofErr w:type="spellStart"/>
      <w:r>
        <w:rPr>
          <w:rFonts w:ascii="Bookman Old Style" w:hAnsi="Bookman Old Style"/>
          <w:sz w:val="26"/>
        </w:rPr>
        <w:t>Lempart</w:t>
      </w:r>
      <w:proofErr w:type="spellEnd"/>
      <w:r>
        <w:rPr>
          <w:rFonts w:ascii="Bookman Old Style" w:hAnsi="Bookman Old Style"/>
          <w:sz w:val="26"/>
        </w:rPr>
        <w:t xml:space="preserve"> &amp; S. </w:t>
      </w:r>
      <w:proofErr w:type="spellStart"/>
      <w:r>
        <w:rPr>
          <w:rFonts w:ascii="Bookman Old Style" w:hAnsi="Bookman Old Style"/>
          <w:sz w:val="26"/>
        </w:rPr>
        <w:t>Saltzburg</w:t>
      </w:r>
      <w:proofErr w:type="spellEnd"/>
      <w:r>
        <w:rPr>
          <w:rFonts w:ascii="Bookman Old Style" w:hAnsi="Bookman Old Style"/>
          <w:sz w:val="26"/>
        </w:rPr>
        <w:t xml:space="preserve">, </w:t>
      </w:r>
      <w:r>
        <w:rPr>
          <w:rFonts w:ascii="Bookman Old Style" w:hAnsi="Bookman Old Style"/>
          <w:sz w:val="26"/>
          <w:u w:val="single"/>
        </w:rPr>
        <w:t>A Modern Approach to Evidence</w:t>
      </w:r>
      <w:r>
        <w:rPr>
          <w:rFonts w:ascii="Bookman Old Style" w:hAnsi="Bookman Old Style"/>
          <w:sz w:val="26"/>
        </w:rPr>
        <w:t xml:space="preserve"> 1084 (1977); C. McCormick, </w:t>
      </w:r>
      <w:r>
        <w:rPr>
          <w:rFonts w:ascii="Bookman Old Style" w:hAnsi="Bookman Old Style"/>
          <w:sz w:val="26"/>
          <w:u w:val="single"/>
        </w:rPr>
        <w:t>Handbook on the Law of Evidence</w:t>
      </w:r>
      <w:r>
        <w:rPr>
          <w:rFonts w:ascii="Bookman Old Style" w:hAnsi="Bookman Old Style"/>
          <w:sz w:val="26"/>
        </w:rPr>
        <w:t xml:space="preserve"> 539 (2d Ad. 1972).  The reason for this approach is obvious: appellate court</w:t>
      </w:r>
      <w:r>
        <w:rPr>
          <w:rFonts w:ascii="Bookman Old Style" w:hAnsi="Bookman Old Style"/>
          <w:sz w:val="26"/>
        </w:rPr>
        <w:t>s cannot know what the jury learned at the view and cannot review this “evidence.”</w:t>
      </w:r>
    </w:p>
    <w:p w:rsidR="00000000" w:rsidRDefault="00B73A41">
      <w:pPr>
        <w:rPr>
          <w:rFonts w:ascii="Bookman Old Style" w:hAnsi="Bookman Old Style"/>
          <w:sz w:val="26"/>
        </w:rPr>
      </w:pPr>
    </w:p>
    <w:p w:rsidR="00000000" w:rsidRDefault="00B73A41">
      <w:pPr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This instruction does not tell the jury that a view is not evidence, because such an instruction is likely to confuse the jury.  It tells the jury that it may consider what</w:t>
      </w:r>
      <w:r>
        <w:rPr>
          <w:rFonts w:ascii="Bookman Old Style" w:hAnsi="Bookman Old Style"/>
          <w:sz w:val="26"/>
        </w:rPr>
        <w:t xml:space="preserve"> it learned from the view during deliberations.</w:t>
      </w:r>
    </w:p>
    <w:p w:rsidR="00000000" w:rsidRDefault="00B73A41">
      <w:pPr>
        <w:rPr>
          <w:rFonts w:ascii="Bookman Old Style" w:hAnsi="Bookman Old Style"/>
          <w:sz w:val="26"/>
        </w:rPr>
      </w:pPr>
    </w:p>
    <w:sectPr w:rsidR="00000000">
      <w:footerReference w:type="even" r:id="rId7"/>
      <w:footerReference w:type="default" r:id="rId8"/>
      <w:type w:val="continuous"/>
      <w:pgSz w:w="12240" w:h="15840"/>
      <w:pgMar w:top="1440" w:right="1440" w:bottom="1440" w:left="144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3A41">
      <w:r>
        <w:separator/>
      </w:r>
    </w:p>
  </w:endnote>
  <w:endnote w:type="continuationSeparator" w:id="0">
    <w:p w:rsidR="00000000" w:rsidRDefault="00B7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73A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B73A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73A41">
    <w:pPr>
      <w:pStyle w:val="Footer"/>
      <w:tabs>
        <w:tab w:val="clear" w:pos="8640"/>
        <w:tab w:val="right" w:pos="9360"/>
      </w:tabs>
      <w:ind w:right="360"/>
      <w:rPr>
        <w:rFonts w:ascii="Bookman Old Style" w:hAnsi="Bookman Old Style"/>
        <w:sz w:val="26"/>
      </w:rPr>
    </w:pPr>
    <w:r>
      <w:rPr>
        <w:rFonts w:ascii="Bookman Old Style" w:hAnsi="Bookman Old Style"/>
        <w:sz w:val="26"/>
      </w:rPr>
      <w:t>Revised 1999</w:t>
    </w:r>
    <w:r>
      <w:rPr>
        <w:rFonts w:ascii="Bookman Old Style" w:hAnsi="Bookman Old Style"/>
        <w:sz w:val="26"/>
      </w:rPr>
      <w:tab/>
    </w:r>
    <w:r>
      <w:rPr>
        <w:rFonts w:ascii="Bookman Old Style" w:hAnsi="Bookman Old Style"/>
        <w:sz w:val="26"/>
      </w:rPr>
      <w:tab/>
      <w:t>02.18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3A41">
      <w:r>
        <w:separator/>
      </w:r>
    </w:p>
  </w:footnote>
  <w:footnote w:type="continuationSeparator" w:id="0">
    <w:p w:rsidR="00000000" w:rsidRDefault="00B73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13"/>
    <w:rsid w:val="00B73A41"/>
    <w:rsid w:val="00F4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pPr>
      <w:ind w:left="1440" w:right="144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/>
      <w:b/>
    </w:r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pPr>
      <w:ind w:left="1440" w:right="144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/>
      <w:b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Alaska Court System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jdooros</dc:creator>
  <cp:keywords/>
  <cp:lastModifiedBy>Michael Merrington</cp:lastModifiedBy>
  <cp:revision>3</cp:revision>
  <cp:lastPrinted>2000-08-17T16:20:00Z</cp:lastPrinted>
  <dcterms:created xsi:type="dcterms:W3CDTF">2017-04-04T18:47:00Z</dcterms:created>
  <dcterms:modified xsi:type="dcterms:W3CDTF">2017-04-04T18:47:00Z</dcterms:modified>
</cp:coreProperties>
</file>