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94C58">
      <w:pPr>
        <w:pStyle w:val="BodyTextIndent"/>
      </w:pPr>
      <w:bookmarkStart w:id="0" w:name="_GoBack"/>
      <w:bookmarkEnd w:id="0"/>
      <w:r>
        <w:t>02.27</w:t>
      </w:r>
      <w:r>
        <w:tab/>
        <w:t>CLOSING INSTRUCTIONS — REPRESENTATIVES OF PARTIES</w:t>
      </w:r>
    </w:p>
    <w:p w:rsidR="00000000" w:rsidRDefault="00894C58">
      <w:pPr>
        <w:suppressAutoHyphens/>
        <w:spacing w:line="360" w:lineRule="auto"/>
        <w:jc w:val="both"/>
        <w:rPr>
          <w:rFonts w:ascii="Bookman Old Style" w:hAnsi="Bookman Old Style"/>
          <w:spacing w:val="-3"/>
          <w:sz w:val="26"/>
        </w:rPr>
      </w:pPr>
    </w:p>
    <w:p w:rsidR="00000000" w:rsidRDefault="00894C58">
      <w:pPr>
        <w:suppressAutoHyphens/>
        <w:spacing w:line="360" w:lineRule="auto"/>
        <w:jc w:val="both"/>
        <w:rPr>
          <w:rFonts w:ascii="Bookman Old Style" w:hAnsi="Bookman Old Style"/>
          <w:spacing w:val="-3"/>
          <w:sz w:val="26"/>
        </w:rPr>
      </w:pPr>
    </w:p>
    <w:p w:rsidR="00000000" w:rsidRDefault="00894C58">
      <w:pPr>
        <w:pStyle w:val="BodyText"/>
        <w:spacing w:line="360" w:lineRule="auto"/>
        <w:rPr>
          <w:rFonts w:ascii="Bookman Old Style" w:hAnsi="Bookman Old Style"/>
          <w:sz w:val="26"/>
        </w:rPr>
      </w:pPr>
      <w:r>
        <w:rPr>
          <w:rFonts w:ascii="Bookman Old Style" w:hAnsi="Bookman Old Style"/>
          <w:sz w:val="26"/>
        </w:rPr>
        <w:t>One of the parties in this case is represented by an attorney. The other is not. A party may have an attorney at trial, or a party may act on [his] [her] own behalf. A party should not be treated di</w:t>
      </w:r>
      <w:r>
        <w:rPr>
          <w:rFonts w:ascii="Bookman Old Style" w:hAnsi="Bookman Old Style"/>
          <w:sz w:val="26"/>
        </w:rPr>
        <w:t>fferently based on [his] [her] decision to use or not to use an attorney.  You should draw no conclusions about the merits of the case or any issue you have to decide just because one party has chosen to be represented by an attorney and the other party ha</w:t>
      </w:r>
      <w:r>
        <w:rPr>
          <w:rFonts w:ascii="Bookman Old Style" w:hAnsi="Bookman Old Style"/>
          <w:sz w:val="26"/>
        </w:rPr>
        <w:t>s chosen to represent [himself] [herself].</w:t>
      </w:r>
    </w:p>
    <w:p w:rsidR="00000000" w:rsidRDefault="00894C58">
      <w:pPr>
        <w:suppressAutoHyphens/>
        <w:spacing w:line="360" w:lineRule="auto"/>
        <w:jc w:val="both"/>
        <w:rPr>
          <w:rFonts w:ascii="Bookman Old Style" w:hAnsi="Bookman Old Style"/>
          <w:spacing w:val="-3"/>
          <w:sz w:val="26"/>
        </w:rPr>
      </w:pPr>
    </w:p>
    <w:p w:rsidR="00000000" w:rsidRDefault="00894C58">
      <w:pPr>
        <w:pStyle w:val="Heading1"/>
        <w:rPr>
          <w:rFonts w:ascii="Bookman Old Style" w:hAnsi="Bookman Old Style"/>
          <w:sz w:val="26"/>
        </w:rPr>
      </w:pPr>
    </w:p>
    <w:p w:rsidR="00000000" w:rsidRDefault="00894C58">
      <w:pPr>
        <w:pStyle w:val="Heading1"/>
        <w:rPr>
          <w:rFonts w:ascii="Bookman Old Style" w:hAnsi="Bookman Old Style"/>
          <w:sz w:val="26"/>
        </w:rPr>
      </w:pPr>
      <w:r>
        <w:rPr>
          <w:rFonts w:ascii="Bookman Old Style" w:hAnsi="Bookman Old Style"/>
          <w:sz w:val="26"/>
        </w:rPr>
        <w:t>Use Note</w:t>
      </w:r>
    </w:p>
    <w:p w:rsidR="00000000" w:rsidRDefault="00894C58">
      <w:pPr>
        <w:suppressAutoHyphens/>
        <w:jc w:val="both"/>
        <w:rPr>
          <w:rFonts w:ascii="Bookman Old Style" w:hAnsi="Bookman Old Style"/>
          <w:spacing w:val="-3"/>
          <w:sz w:val="26"/>
        </w:rPr>
      </w:pPr>
    </w:p>
    <w:p w:rsidR="00000000" w:rsidRDefault="00894C58">
      <w:pPr>
        <w:pStyle w:val="BodyText"/>
        <w:rPr>
          <w:rFonts w:ascii="Bookman Old Style" w:hAnsi="Bookman Old Style"/>
          <w:sz w:val="26"/>
        </w:rPr>
      </w:pPr>
      <w:r>
        <w:rPr>
          <w:rFonts w:ascii="Bookman Old Style" w:hAnsi="Bookman Old Style"/>
          <w:sz w:val="26"/>
        </w:rPr>
        <w:t>This instruction should be given if one of the parties has a lawyer and the other does not.  If neither party has a lawyer, then this instruction should be omitted. This instruction may also be omitted</w:t>
      </w:r>
      <w:r>
        <w:rPr>
          <w:rFonts w:ascii="Bookman Old Style" w:hAnsi="Bookman Old Style"/>
          <w:sz w:val="26"/>
        </w:rPr>
        <w:t xml:space="preserve"> if the court has given an opening instruction on representatives of parties (e.g., Pattern Instruction 01.04).</w:t>
      </w:r>
    </w:p>
    <w:p w:rsidR="00000000" w:rsidRDefault="00894C58">
      <w:pPr>
        <w:suppressAutoHyphens/>
        <w:jc w:val="both"/>
        <w:rPr>
          <w:rFonts w:ascii="Bookman Old Style" w:hAnsi="Bookman Old Style"/>
          <w:spacing w:val="-3"/>
          <w:sz w:val="26"/>
        </w:rPr>
      </w:pPr>
    </w:p>
    <w:p w:rsidR="00000000" w:rsidRDefault="00894C58">
      <w:pPr>
        <w:pStyle w:val="Heading1"/>
        <w:rPr>
          <w:rFonts w:ascii="Bookman Old Style" w:hAnsi="Bookman Old Style"/>
          <w:sz w:val="26"/>
        </w:rPr>
      </w:pPr>
      <w:r>
        <w:rPr>
          <w:rFonts w:ascii="Bookman Old Style" w:hAnsi="Bookman Old Style"/>
          <w:sz w:val="26"/>
        </w:rPr>
        <w:t>Comment</w:t>
      </w:r>
    </w:p>
    <w:p w:rsidR="00000000" w:rsidRDefault="00894C58">
      <w:pPr>
        <w:suppressAutoHyphens/>
        <w:jc w:val="both"/>
        <w:rPr>
          <w:rFonts w:ascii="Bookman Old Style" w:hAnsi="Bookman Old Style"/>
          <w:spacing w:val="-3"/>
          <w:sz w:val="26"/>
        </w:rPr>
      </w:pPr>
    </w:p>
    <w:p w:rsidR="00000000" w:rsidRDefault="00894C58">
      <w:pPr>
        <w:suppressAutoHyphens/>
        <w:jc w:val="both"/>
        <w:rPr>
          <w:rFonts w:ascii="Bookman Old Style" w:hAnsi="Bookman Old Style"/>
          <w:spacing w:val="-3"/>
          <w:sz w:val="26"/>
        </w:rPr>
      </w:pPr>
      <w:r>
        <w:rPr>
          <w:rFonts w:ascii="Bookman Old Style" w:hAnsi="Bookman Old Style"/>
          <w:spacing w:val="-3"/>
          <w:sz w:val="26"/>
        </w:rPr>
        <w:t>The jury should be told that the presence or absence of a lawyer is not an invitation to favorable or unfavorable consideration of a p</w:t>
      </w:r>
      <w:r>
        <w:rPr>
          <w:rFonts w:ascii="Bookman Old Style" w:hAnsi="Bookman Old Style"/>
          <w:spacing w:val="-3"/>
          <w:sz w:val="26"/>
        </w:rPr>
        <w:t>arty.  Parties are to be judged on the evidence presented, whether they have lawyers or not.</w:t>
      </w:r>
    </w:p>
    <w:p w:rsidR="00000000" w:rsidRDefault="00894C58">
      <w:pPr>
        <w:suppressAutoHyphens/>
        <w:jc w:val="both"/>
        <w:rPr>
          <w:rFonts w:ascii="Bookman Old Style" w:hAnsi="Bookman Old Style"/>
          <w:spacing w:val="-3"/>
          <w:sz w:val="26"/>
        </w:rPr>
      </w:pPr>
    </w:p>
    <w:sectPr w:rsidR="00000000">
      <w:footerReference w:type="even" r:id="rId7"/>
      <w:footerReference w:type="default" r:id="rId8"/>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94C58">
      <w:pPr>
        <w:spacing w:line="20" w:lineRule="exact"/>
      </w:pPr>
    </w:p>
  </w:endnote>
  <w:endnote w:type="continuationSeparator" w:id="0">
    <w:p w:rsidR="00000000" w:rsidRDefault="00894C58">
      <w:r>
        <w:t xml:space="preserve"> </w:t>
      </w:r>
    </w:p>
  </w:endnote>
  <w:endnote w:type="continuationNotice" w:id="1">
    <w:p w:rsidR="00000000" w:rsidRDefault="00894C5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4C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894C5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4C58">
    <w:pPr>
      <w:pStyle w:val="Footer"/>
      <w:framePr w:wrap="around" w:vAnchor="text" w:hAnchor="margin" w:xAlign="right" w:y="1"/>
      <w:rPr>
        <w:rStyle w:val="PageNumber"/>
        <w:rFonts w:ascii="CG Times" w:hAnsi="CG Times"/>
      </w:rPr>
    </w:pPr>
  </w:p>
  <w:p w:rsidR="00000000" w:rsidRDefault="00894C58">
    <w:pPr>
      <w:pStyle w:val="Footer"/>
      <w:tabs>
        <w:tab w:val="clear" w:pos="8640"/>
        <w:tab w:val="right" w:pos="9360"/>
      </w:tabs>
      <w:rPr>
        <w:rFonts w:ascii="Bookman Old Style" w:hAnsi="Bookman Old Style"/>
        <w:sz w:val="26"/>
      </w:rPr>
    </w:pPr>
    <w:r>
      <w:rPr>
        <w:rFonts w:ascii="Bookman Old Style" w:hAnsi="Bookman Old Style"/>
        <w:sz w:val="26"/>
      </w:rPr>
      <w:t>Revised 1999</w:t>
    </w:r>
    <w:r>
      <w:rPr>
        <w:rFonts w:ascii="Bookman Old Style" w:hAnsi="Bookman Old Style"/>
        <w:sz w:val="26"/>
      </w:rPr>
      <w:tab/>
    </w:r>
    <w:r>
      <w:rPr>
        <w:rFonts w:ascii="Bookman Old Style" w:hAnsi="Bookman Old Style"/>
        <w:sz w:val="26"/>
      </w:rPr>
      <w:tab/>
      <w:t>02.27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94C58">
      <w:r>
        <w:separator/>
      </w:r>
    </w:p>
  </w:footnote>
  <w:footnote w:type="continuationSeparator" w:id="0">
    <w:p w:rsidR="00000000" w:rsidRDefault="00894C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2FE"/>
    <w:rsid w:val="00894C58"/>
    <w:rsid w:val="00916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suppressAutoHyphens/>
      <w:jc w:val="center"/>
      <w:outlineLvl w:val="0"/>
    </w:pPr>
    <w:rPr>
      <w:spacing w:val="-3"/>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rPr>
      <w:rFonts w:ascii="Times New Roman" w:hAnsi="Times New Roman"/>
    </w:rPr>
  </w:style>
  <w:style w:type="character" w:styleId="EndnoteReference">
    <w:name w:val="endnote reference"/>
    <w:basedOn w:val="DefaultParagraphFont"/>
    <w:semiHidden/>
    <w:rPr>
      <w:rFonts w:ascii="Times New Roman" w:hAnsi="Times New Roman"/>
      <w:noProof w:val="0"/>
      <w:sz w:val="24"/>
      <w:vertAlign w:val="superscript"/>
      <w:lang w:val="en-US"/>
    </w:rPr>
  </w:style>
  <w:style w:type="paragraph" w:styleId="FootnoteText">
    <w:name w:val="footnote text"/>
    <w:basedOn w:val="Normal"/>
    <w:semiHidden/>
    <w:pPr>
      <w:tabs>
        <w:tab w:val="left" w:pos="-720"/>
      </w:tabs>
      <w:suppressAutoHyphens/>
    </w:pPr>
    <w:rPr>
      <w:rFonts w:ascii="Times New Roman" w:hAnsi="Times New Roman"/>
    </w:rPr>
  </w:style>
  <w:style w:type="character" w:styleId="FootnoteReference">
    <w:name w:val="footnote reference"/>
    <w:basedOn w:val="DefaultParagraphFont"/>
    <w:semiHidden/>
    <w:rPr>
      <w:rFonts w:ascii="Times New Roman" w:hAnsi="Times New Roman"/>
      <w:noProof w:val="0"/>
      <w:sz w:val="24"/>
      <w:vertAlign w:val="superscript"/>
      <w:lang w:val="en-US"/>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basedOn w:val="DefaultParagraphFont"/>
  </w:style>
  <w:style w:type="character" w:customStyle="1" w:styleId="DefaultPara">
    <w:name w:val="Default Para"/>
    <w:basedOn w:val="DefaultParagraphFont"/>
  </w:style>
  <w:style w:type="character" w:customStyle="1" w:styleId="endnoterefe">
    <w:name w:val="endnote refe"/>
    <w:basedOn w:val="DefaultParagraphFont"/>
    <w:rPr>
      <w:rFonts w:ascii="Times New Roman" w:hAnsi="Times New Roman"/>
      <w:noProof w:val="0"/>
      <w:sz w:val="24"/>
      <w:vertAlign w:val="superscript"/>
      <w:lang w:val="en-US"/>
    </w:rPr>
  </w:style>
  <w:style w:type="paragraph" w:customStyle="1" w:styleId="footnotetex">
    <w:name w:val="footnote tex"/>
    <w:pPr>
      <w:widowControl w:val="0"/>
      <w:tabs>
        <w:tab w:val="left" w:pos="-720"/>
      </w:tabs>
      <w:suppressAutoHyphens/>
    </w:pPr>
    <w:rPr>
      <w:snapToGrid w:val="0"/>
      <w:sz w:val="24"/>
    </w:rPr>
  </w:style>
  <w:style w:type="character" w:customStyle="1" w:styleId="footnoteref">
    <w:name w:val="footnote ref"/>
    <w:basedOn w:val="DefaultParagraphFont"/>
    <w:rPr>
      <w:rFonts w:ascii="Times New Roman" w:hAnsi="Times New Roman"/>
      <w:noProof w:val="0"/>
      <w:sz w:val="24"/>
      <w:vertAlign w:val="superscript"/>
      <w:lang w:val="en-US"/>
    </w:rPr>
  </w:style>
  <w:style w:type="character" w:customStyle="1" w:styleId="EquationCa">
    <w:name w:val="_Equation Ca"/>
    <w:basedOn w:val="DefaultParagraphFont"/>
  </w:style>
  <w:style w:type="character" w:customStyle="1" w:styleId="EquationCaption1">
    <w:name w:val="_Equation Caption1"/>
  </w:style>
  <w:style w:type="paragraph" w:styleId="BodyText">
    <w:name w:val="Body Text"/>
    <w:basedOn w:val="Normal"/>
    <w:semiHidden/>
    <w:pPr>
      <w:suppressAutoHyphens/>
      <w:jc w:val="both"/>
    </w:pPr>
    <w:rPr>
      <w:spacing w:val="-3"/>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tabs>
        <w:tab w:val="left" w:pos="1440"/>
      </w:tabs>
      <w:suppressAutoHyphens/>
      <w:spacing w:line="360" w:lineRule="auto"/>
      <w:ind w:left="1440" w:hanging="1440"/>
      <w:jc w:val="both"/>
    </w:pPr>
    <w:rPr>
      <w:rFonts w:ascii="Bookman Old Style" w:hAnsi="Bookman Old Style"/>
      <w:b/>
      <w:spacing w:val="-3"/>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suppressAutoHyphens/>
      <w:jc w:val="center"/>
      <w:outlineLvl w:val="0"/>
    </w:pPr>
    <w:rPr>
      <w:spacing w:val="-3"/>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rPr>
      <w:rFonts w:ascii="Times New Roman" w:hAnsi="Times New Roman"/>
    </w:rPr>
  </w:style>
  <w:style w:type="character" w:styleId="EndnoteReference">
    <w:name w:val="endnote reference"/>
    <w:basedOn w:val="DefaultParagraphFont"/>
    <w:semiHidden/>
    <w:rPr>
      <w:rFonts w:ascii="Times New Roman" w:hAnsi="Times New Roman"/>
      <w:noProof w:val="0"/>
      <w:sz w:val="24"/>
      <w:vertAlign w:val="superscript"/>
      <w:lang w:val="en-US"/>
    </w:rPr>
  </w:style>
  <w:style w:type="paragraph" w:styleId="FootnoteText">
    <w:name w:val="footnote text"/>
    <w:basedOn w:val="Normal"/>
    <w:semiHidden/>
    <w:pPr>
      <w:tabs>
        <w:tab w:val="left" w:pos="-720"/>
      </w:tabs>
      <w:suppressAutoHyphens/>
    </w:pPr>
    <w:rPr>
      <w:rFonts w:ascii="Times New Roman" w:hAnsi="Times New Roman"/>
    </w:rPr>
  </w:style>
  <w:style w:type="character" w:styleId="FootnoteReference">
    <w:name w:val="footnote reference"/>
    <w:basedOn w:val="DefaultParagraphFont"/>
    <w:semiHidden/>
    <w:rPr>
      <w:rFonts w:ascii="Times New Roman" w:hAnsi="Times New Roman"/>
      <w:noProof w:val="0"/>
      <w:sz w:val="24"/>
      <w:vertAlign w:val="superscript"/>
      <w:lang w:val="en-US"/>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basedOn w:val="DefaultParagraphFont"/>
  </w:style>
  <w:style w:type="character" w:customStyle="1" w:styleId="DefaultPara">
    <w:name w:val="Default Para"/>
    <w:basedOn w:val="DefaultParagraphFont"/>
  </w:style>
  <w:style w:type="character" w:customStyle="1" w:styleId="endnoterefe">
    <w:name w:val="endnote refe"/>
    <w:basedOn w:val="DefaultParagraphFont"/>
    <w:rPr>
      <w:rFonts w:ascii="Times New Roman" w:hAnsi="Times New Roman"/>
      <w:noProof w:val="0"/>
      <w:sz w:val="24"/>
      <w:vertAlign w:val="superscript"/>
      <w:lang w:val="en-US"/>
    </w:rPr>
  </w:style>
  <w:style w:type="paragraph" w:customStyle="1" w:styleId="footnotetex">
    <w:name w:val="footnote tex"/>
    <w:pPr>
      <w:widowControl w:val="0"/>
      <w:tabs>
        <w:tab w:val="left" w:pos="-720"/>
      </w:tabs>
      <w:suppressAutoHyphens/>
    </w:pPr>
    <w:rPr>
      <w:snapToGrid w:val="0"/>
      <w:sz w:val="24"/>
    </w:rPr>
  </w:style>
  <w:style w:type="character" w:customStyle="1" w:styleId="footnoteref">
    <w:name w:val="footnote ref"/>
    <w:basedOn w:val="DefaultParagraphFont"/>
    <w:rPr>
      <w:rFonts w:ascii="Times New Roman" w:hAnsi="Times New Roman"/>
      <w:noProof w:val="0"/>
      <w:sz w:val="24"/>
      <w:vertAlign w:val="superscript"/>
      <w:lang w:val="en-US"/>
    </w:rPr>
  </w:style>
  <w:style w:type="character" w:customStyle="1" w:styleId="EquationCa">
    <w:name w:val="_Equation Ca"/>
    <w:basedOn w:val="DefaultParagraphFont"/>
  </w:style>
  <w:style w:type="character" w:customStyle="1" w:styleId="EquationCaption1">
    <w:name w:val="_Equation Caption1"/>
  </w:style>
  <w:style w:type="paragraph" w:styleId="BodyText">
    <w:name w:val="Body Text"/>
    <w:basedOn w:val="Normal"/>
    <w:semiHidden/>
    <w:pPr>
      <w:suppressAutoHyphens/>
      <w:jc w:val="both"/>
    </w:pPr>
    <w:rPr>
      <w:spacing w:val="-3"/>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tabs>
        <w:tab w:val="left" w:pos="1440"/>
      </w:tabs>
      <w:suppressAutoHyphens/>
      <w:spacing w:line="360" w:lineRule="auto"/>
      <w:ind w:left="1440" w:hanging="1440"/>
      <w:jc w:val="both"/>
    </w:pPr>
    <w:rPr>
      <w:rFonts w:ascii="Bookman Old Style" w:hAnsi="Bookman Old Style"/>
      <w:b/>
      <w:spacing w:val="-3"/>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Draft #4</vt:lpstr>
    </vt:vector>
  </TitlesOfParts>
  <Company>Alaska Court System</Company>
  <LinksUpToDate>false</LinksUpToDate>
  <CharactersWithSpaces>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#4</dc:title>
  <dc:subject/>
  <dc:creator>Robert Storm</dc:creator>
  <cp:keywords/>
  <cp:lastModifiedBy>Michael Merrington</cp:lastModifiedBy>
  <cp:revision>3</cp:revision>
  <cp:lastPrinted>2000-09-06T00:13:00Z</cp:lastPrinted>
  <dcterms:created xsi:type="dcterms:W3CDTF">2017-04-04T18:47:00Z</dcterms:created>
  <dcterms:modified xsi:type="dcterms:W3CDTF">2017-04-04T18:47:00Z</dcterms:modified>
</cp:coreProperties>
</file>