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12" w:rsidRPr="002148C4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b/>
          <w:bCs/>
          <w:snapToGrid w:val="0"/>
          <w:sz w:val="26"/>
        </w:rPr>
      </w:pPr>
      <w:bookmarkStart w:id="0" w:name="_GoBack"/>
      <w:bookmarkEnd w:id="0"/>
      <w:r w:rsidRPr="002148C4">
        <w:rPr>
          <w:rFonts w:ascii="Bookman Old Style" w:hAnsi="Bookman Old Style"/>
          <w:b/>
          <w:bCs/>
          <w:snapToGrid w:val="0"/>
          <w:sz w:val="26"/>
        </w:rPr>
        <w:t>3.02</w:t>
      </w:r>
      <w:r w:rsidRPr="002148C4">
        <w:rPr>
          <w:rFonts w:ascii="Bookman Old Style" w:hAnsi="Bookman Old Style"/>
          <w:b/>
          <w:bCs/>
          <w:snapToGrid w:val="0"/>
          <w:sz w:val="26"/>
        </w:rPr>
        <w:tab/>
      </w:r>
      <w:r w:rsidR="007E13DF" w:rsidRPr="002148C4">
        <w:rPr>
          <w:rFonts w:ascii="Bookman Old Style" w:hAnsi="Bookman Old Style"/>
          <w:b/>
          <w:bCs/>
          <w:snapToGrid w:val="0"/>
          <w:sz w:val="26"/>
        </w:rPr>
        <w:tab/>
      </w:r>
      <w:r w:rsidRPr="002148C4">
        <w:rPr>
          <w:rFonts w:ascii="Bookman Old Style" w:hAnsi="Bookman Old Style"/>
          <w:b/>
          <w:bCs/>
          <w:snapToGrid w:val="0"/>
          <w:sz w:val="26"/>
        </w:rPr>
        <w:t>COMPARATIVE NEGLIGENCE</w:t>
      </w: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The defendant claims that the plaintiff's harm resulted, in whole or in part, from the plaintiff's own negligence.</w:t>
      </w: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In order to find that </w:t>
      </w:r>
      <w:r w:rsidR="002B46D2">
        <w:rPr>
          <w:rFonts w:ascii="Bookman Old Style" w:hAnsi="Bookman Old Style"/>
          <w:snapToGrid w:val="0"/>
          <w:sz w:val="26"/>
        </w:rPr>
        <w:t xml:space="preserve">the </w:t>
      </w:r>
      <w:r>
        <w:rPr>
          <w:rFonts w:ascii="Bookman Old Style" w:hAnsi="Bookman Old Style"/>
          <w:snapToGrid w:val="0"/>
          <w:sz w:val="26"/>
        </w:rPr>
        <w:t>plaintiff was negligent, you must decide it is more likely true than not true</w:t>
      </w:r>
      <w:r w:rsidR="005C7047">
        <w:rPr>
          <w:rFonts w:ascii="Bookman Old Style" w:hAnsi="Bookman Old Style"/>
          <w:snapToGrid w:val="0"/>
          <w:sz w:val="26"/>
        </w:rPr>
        <w:t xml:space="preserve"> that</w:t>
      </w:r>
      <w:r>
        <w:rPr>
          <w:rFonts w:ascii="Bookman Old Style" w:hAnsi="Bookman Old Style"/>
          <w:snapToGrid w:val="0"/>
          <w:sz w:val="26"/>
        </w:rPr>
        <w:t>:</w:t>
      </w: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(1)</w:t>
      </w:r>
      <w:r>
        <w:rPr>
          <w:rFonts w:ascii="Bookman Old Style" w:hAnsi="Bookman Old Style"/>
          <w:snapToGrid w:val="0"/>
          <w:sz w:val="26"/>
        </w:rPr>
        <w:tab/>
        <w:t>the plaintiff was negligent; and</w:t>
      </w: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</w:p>
    <w:p w:rsidR="00250412" w:rsidRDefault="00250412" w:rsidP="00D92FEC">
      <w:pPr>
        <w:widowControl w:val="0"/>
        <w:spacing w:line="360" w:lineRule="auto"/>
        <w:ind w:left="720" w:hanging="72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(2)</w:t>
      </w:r>
      <w:r>
        <w:rPr>
          <w:rFonts w:ascii="Bookman Old Style" w:hAnsi="Bookman Old Style"/>
          <w:snapToGrid w:val="0"/>
          <w:sz w:val="26"/>
        </w:rPr>
        <w:tab/>
        <w:t xml:space="preserve">the </w:t>
      </w:r>
      <w:r w:rsidR="005C7047">
        <w:rPr>
          <w:rFonts w:ascii="Bookman Old Style" w:hAnsi="Bookman Old Style"/>
          <w:snapToGrid w:val="0"/>
          <w:sz w:val="26"/>
        </w:rPr>
        <w:t xml:space="preserve">plaintiff’s </w:t>
      </w:r>
      <w:r>
        <w:rPr>
          <w:rFonts w:ascii="Bookman Old Style" w:hAnsi="Bookman Old Style"/>
          <w:snapToGrid w:val="0"/>
          <w:sz w:val="26"/>
        </w:rPr>
        <w:t xml:space="preserve">negligence was a </w:t>
      </w:r>
      <w:r w:rsidR="005C7047">
        <w:rPr>
          <w:rFonts w:ascii="Bookman Old Style" w:hAnsi="Bookman Old Style"/>
          <w:snapToGrid w:val="0"/>
          <w:sz w:val="26"/>
        </w:rPr>
        <w:t>substantial factor in causing the</w:t>
      </w:r>
      <w:r>
        <w:rPr>
          <w:rFonts w:ascii="Bookman Old Style" w:hAnsi="Bookman Old Style"/>
          <w:snapToGrid w:val="0"/>
          <w:sz w:val="26"/>
        </w:rPr>
        <w:t xml:space="preserve"> plaintiff's harm.</w:t>
      </w: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</w:p>
    <w:p w:rsidR="00250412" w:rsidRDefault="00250412" w:rsidP="00D92FEC">
      <w:pPr>
        <w:widowControl w:val="0"/>
        <w:spacing w:line="360" w:lineRule="auto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Instructions on the verdict form will tell you what to do if you decide that both the defendant and the plaintiff were negligent.</w:t>
      </w:r>
    </w:p>
    <w:p w:rsidR="00250412" w:rsidRDefault="00250412" w:rsidP="00D92FEC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250412" w:rsidRPr="002148C4" w:rsidRDefault="002148C4" w:rsidP="00D92FEC">
      <w:pPr>
        <w:pStyle w:val="Heading1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spacing w:line="240" w:lineRule="auto"/>
      </w:pPr>
      <w:r>
        <w:t>Direction</w:t>
      </w:r>
      <w:r w:rsidR="00A41ADF">
        <w:t>s</w:t>
      </w:r>
      <w:r>
        <w:t xml:space="preserve"> for Use</w:t>
      </w:r>
    </w:p>
    <w:p w:rsidR="00250412" w:rsidRDefault="00250412" w:rsidP="00D92FEC">
      <w:pPr>
        <w:rPr>
          <w:rFonts w:ascii="Bookman Old Style" w:hAnsi="Bookman Old Style"/>
        </w:rPr>
      </w:pPr>
    </w:p>
    <w:p w:rsidR="00250412" w:rsidRDefault="00250412" w:rsidP="00D92FEC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should be given </w:t>
      </w:r>
      <w:r w:rsidR="005C7047">
        <w:rPr>
          <w:rFonts w:ascii="Bookman Old Style" w:hAnsi="Bookman Old Style"/>
          <w:sz w:val="26"/>
        </w:rPr>
        <w:t>when</w:t>
      </w:r>
      <w:r>
        <w:rPr>
          <w:rFonts w:ascii="Bookman Old Style" w:hAnsi="Bookman Old Style"/>
          <w:sz w:val="26"/>
        </w:rPr>
        <w:t xml:space="preserve"> comparative negligence is an issue. </w:t>
      </w:r>
    </w:p>
    <w:p w:rsidR="00250412" w:rsidRDefault="00250412" w:rsidP="00D92FEC">
      <w:pPr>
        <w:jc w:val="both"/>
        <w:rPr>
          <w:rFonts w:ascii="Bookman Old Style" w:hAnsi="Bookman Old Style"/>
          <w:sz w:val="26"/>
        </w:rPr>
      </w:pPr>
    </w:p>
    <w:p w:rsidR="00250412" w:rsidRPr="002148C4" w:rsidRDefault="00250412" w:rsidP="00D92FEC">
      <w:pPr>
        <w:pStyle w:val="Heading1"/>
        <w:widowControl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spacing w:line="240" w:lineRule="auto"/>
        <w:rPr>
          <w:snapToGrid/>
        </w:rPr>
      </w:pPr>
      <w:r w:rsidRPr="002148C4">
        <w:rPr>
          <w:snapToGrid/>
        </w:rPr>
        <w:t>Comment</w:t>
      </w:r>
    </w:p>
    <w:p w:rsidR="00250412" w:rsidRPr="00A57244" w:rsidRDefault="00250412" w:rsidP="00D92FEC">
      <w:pPr>
        <w:widowControl w:val="0"/>
        <w:rPr>
          <w:rFonts w:ascii="Bookman Old Style" w:hAnsi="Bookman Old Style"/>
          <w:sz w:val="26"/>
          <w:u w:val="single"/>
        </w:rPr>
      </w:pPr>
    </w:p>
    <w:p w:rsidR="005C7047" w:rsidRDefault="000E39B4" w:rsidP="00D92FEC">
      <w:pPr>
        <w:pStyle w:val="BodyText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jc w:val="both"/>
      </w:pPr>
      <w:r>
        <w:t xml:space="preserve">Comparative negligence was adopted in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as early as 1975.  </w:t>
      </w:r>
      <w:r w:rsidRPr="00D624D3">
        <w:rPr>
          <w:i/>
        </w:rPr>
        <w:t xml:space="preserve">Hiibschman v. City of </w:t>
      </w:r>
      <w:smartTag w:uri="urn:schemas-microsoft-com:office:smarttags" w:element="City">
        <w:smartTag w:uri="urn:schemas-microsoft-com:office:smarttags" w:element="place">
          <w:r w:rsidRPr="00D624D3">
            <w:rPr>
              <w:i/>
            </w:rPr>
            <w:t>Valdez</w:t>
          </w:r>
        </w:smartTag>
      </w:smartTag>
      <w:r>
        <w:t>, 821 P.2d 1354, 1364 (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1991).  The </w:t>
      </w:r>
      <w:r w:rsidR="00D03641">
        <w:t xml:space="preserve">comparative negligence </w:t>
      </w:r>
      <w:r>
        <w:t>rule was codified in 1986</w:t>
      </w:r>
      <w:r w:rsidR="005C7047">
        <w:t>.</w:t>
      </w:r>
      <w:r w:rsidR="00D03641">
        <w:t xml:space="preserve"> </w:t>
      </w:r>
      <w:r>
        <w:t>AS 09.17.060.</w:t>
      </w:r>
      <w:r w:rsidR="005C7047">
        <w:t xml:space="preserve"> In </w:t>
      </w:r>
      <w:r w:rsidR="005C7047" w:rsidRPr="00D03641">
        <w:rPr>
          <w:i/>
        </w:rPr>
        <w:t>General Motors Corp. v. Farnsworth</w:t>
      </w:r>
      <w:r w:rsidR="005C7047">
        <w:t xml:space="preserve">, 965 P.2d 1209, 1217 (Alaska 1998), the supreme court held it was error for the trial court to fail to give a comparative negligence instruction in the face of </w:t>
      </w:r>
      <w:r w:rsidR="00D03641">
        <w:t xml:space="preserve">the </w:t>
      </w:r>
      <w:r w:rsidR="005C7047">
        <w:t xml:space="preserve">defendant’s request and assertion that the plaintiff was responsible for her own injuries. </w:t>
      </w:r>
    </w:p>
    <w:p w:rsidR="00250412" w:rsidRPr="000E39B4" w:rsidRDefault="00250412">
      <w:pPr>
        <w:pStyle w:val="BodyText"/>
        <w:jc w:val="both"/>
      </w:pPr>
    </w:p>
    <w:sectPr w:rsidR="00250412" w:rsidRPr="000E39B4" w:rsidSect="002148C4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54C" w:rsidRDefault="00EB254C">
      <w:r>
        <w:separator/>
      </w:r>
    </w:p>
  </w:endnote>
  <w:endnote w:type="continuationSeparator" w:id="0">
    <w:p w:rsidR="00EB254C" w:rsidRDefault="00EB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C72" w:rsidRPr="002148C4" w:rsidRDefault="00A41ADF" w:rsidP="001B048E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7B0C72" w:rsidRPr="002148C4">
      <w:rPr>
        <w:rFonts w:ascii="Bookman Old Style" w:hAnsi="Bookman Old Style"/>
        <w:sz w:val="24"/>
        <w:szCs w:val="24"/>
      </w:rPr>
      <w:tab/>
    </w:r>
    <w:r w:rsidR="007B0C72" w:rsidRPr="002148C4">
      <w:rPr>
        <w:rFonts w:ascii="Bookman Old Style" w:hAnsi="Bookman Old Style"/>
        <w:sz w:val="24"/>
        <w:szCs w:val="24"/>
      </w:rPr>
      <w:tab/>
      <w:t xml:space="preserve">03.02 - </w:t>
    </w:r>
    <w:r w:rsidR="007B0C72" w:rsidRPr="002148C4">
      <w:rPr>
        <w:rStyle w:val="PageNumber"/>
        <w:rFonts w:ascii="Bookman Old Style" w:hAnsi="Bookman Old Style"/>
        <w:sz w:val="24"/>
        <w:szCs w:val="24"/>
      </w:rPr>
      <w:fldChar w:fldCharType="begin"/>
    </w:r>
    <w:r w:rsidR="007B0C72" w:rsidRPr="002148C4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7B0C72" w:rsidRPr="002148C4">
      <w:rPr>
        <w:rStyle w:val="PageNumber"/>
        <w:rFonts w:ascii="Bookman Old Style" w:hAnsi="Bookman Old Style"/>
        <w:sz w:val="24"/>
        <w:szCs w:val="24"/>
      </w:rPr>
      <w:fldChar w:fldCharType="separate"/>
    </w:r>
    <w:r w:rsidR="006B388A">
      <w:rPr>
        <w:rStyle w:val="PageNumber"/>
        <w:rFonts w:ascii="Bookman Old Style" w:hAnsi="Bookman Old Style"/>
        <w:noProof/>
        <w:sz w:val="24"/>
        <w:szCs w:val="24"/>
      </w:rPr>
      <w:t>1</w:t>
    </w:r>
    <w:r w:rsidR="007B0C72" w:rsidRPr="002148C4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54C" w:rsidRDefault="00EB254C">
      <w:r>
        <w:separator/>
      </w:r>
    </w:p>
  </w:footnote>
  <w:footnote w:type="continuationSeparator" w:id="0">
    <w:p w:rsidR="00EB254C" w:rsidRDefault="00EB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8E"/>
    <w:rsid w:val="00005F6D"/>
    <w:rsid w:val="00073676"/>
    <w:rsid w:val="000E39B4"/>
    <w:rsid w:val="0012769C"/>
    <w:rsid w:val="0015133F"/>
    <w:rsid w:val="00191931"/>
    <w:rsid w:val="001B048E"/>
    <w:rsid w:val="002148C4"/>
    <w:rsid w:val="00250412"/>
    <w:rsid w:val="002B46D2"/>
    <w:rsid w:val="002B586C"/>
    <w:rsid w:val="00342CE4"/>
    <w:rsid w:val="003921F5"/>
    <w:rsid w:val="003C2D53"/>
    <w:rsid w:val="003C405B"/>
    <w:rsid w:val="00432CF9"/>
    <w:rsid w:val="00475B03"/>
    <w:rsid w:val="004C427D"/>
    <w:rsid w:val="00591447"/>
    <w:rsid w:val="005C7047"/>
    <w:rsid w:val="005D3993"/>
    <w:rsid w:val="005F6E3F"/>
    <w:rsid w:val="006645C7"/>
    <w:rsid w:val="006B388A"/>
    <w:rsid w:val="007B0C72"/>
    <w:rsid w:val="007E13DF"/>
    <w:rsid w:val="00800DDE"/>
    <w:rsid w:val="0088022E"/>
    <w:rsid w:val="00884051"/>
    <w:rsid w:val="00931AF7"/>
    <w:rsid w:val="00A41ADF"/>
    <w:rsid w:val="00A57244"/>
    <w:rsid w:val="00AA7E07"/>
    <w:rsid w:val="00B02127"/>
    <w:rsid w:val="00B3065F"/>
    <w:rsid w:val="00B7441B"/>
    <w:rsid w:val="00C63A55"/>
    <w:rsid w:val="00D03641"/>
    <w:rsid w:val="00D20D29"/>
    <w:rsid w:val="00D41018"/>
    <w:rsid w:val="00D547A6"/>
    <w:rsid w:val="00D624D3"/>
    <w:rsid w:val="00D90B72"/>
    <w:rsid w:val="00D92FEC"/>
    <w:rsid w:val="00EB254C"/>
    <w:rsid w:val="00EE1FCA"/>
    <w:rsid w:val="00F1269B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napToGrid w:val="0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rsid w:val="0015133F"/>
    <w:pPr>
      <w:spacing w:line="240" w:lineRule="exact"/>
    </w:pPr>
    <w:rPr>
      <w:rFonts w:ascii="Courier New" w:hAnsi="Courier New"/>
      <w:noProof/>
    </w:rPr>
  </w:style>
  <w:style w:type="paragraph" w:styleId="BalloonText">
    <w:name w:val="Balloon Text"/>
    <w:basedOn w:val="Normal"/>
    <w:semiHidden/>
    <w:rsid w:val="00664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napToGrid w:val="0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rsid w:val="0015133F"/>
    <w:pPr>
      <w:spacing w:line="240" w:lineRule="exact"/>
    </w:pPr>
    <w:rPr>
      <w:rFonts w:ascii="Courier New" w:hAnsi="Courier New"/>
      <w:noProof/>
    </w:rPr>
  </w:style>
  <w:style w:type="paragraph" w:styleId="BalloonText">
    <w:name w:val="Balloon Text"/>
    <w:basedOn w:val="Normal"/>
    <w:semiHidden/>
    <w:rsid w:val="00664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korzechowski</dc:creator>
  <cp:keywords/>
  <dc:description/>
  <cp:lastModifiedBy>Michael Merrington</cp:lastModifiedBy>
  <cp:revision>3</cp:revision>
  <cp:lastPrinted>2006-08-10T20:55:00Z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2040219809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