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A5" w:rsidRPr="000D7DAB" w:rsidRDefault="00A318A5">
      <w:pPr>
        <w:rPr>
          <w:rFonts w:ascii="Bookman Old Style" w:hAnsi="Bookman Old Style"/>
          <w:b/>
          <w:bCs/>
        </w:rPr>
      </w:pPr>
      <w:bookmarkStart w:id="0" w:name="_GoBack"/>
      <w:bookmarkEnd w:id="0"/>
      <w:r w:rsidRPr="000D7DAB">
        <w:rPr>
          <w:rFonts w:ascii="Bookman Old Style" w:hAnsi="Bookman Old Style"/>
          <w:b/>
          <w:bCs/>
          <w:sz w:val="26"/>
        </w:rPr>
        <w:t>3.03A</w:t>
      </w:r>
      <w:r w:rsidRPr="000D7DAB">
        <w:rPr>
          <w:rFonts w:ascii="Bookman Old Style" w:hAnsi="Bookman Old Style"/>
          <w:b/>
          <w:bCs/>
          <w:sz w:val="26"/>
        </w:rPr>
        <w:tab/>
        <w:t>NEGLIGENCE DEFINED – ADULT</w:t>
      </w:r>
    </w:p>
    <w:p w:rsidR="00A318A5" w:rsidRDefault="00A318A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jc w:val="both"/>
        <w:rPr>
          <w:rFonts w:ascii="Bookman Old Style" w:hAnsi="Bookman Old Style"/>
          <w:sz w:val="26"/>
        </w:rPr>
      </w:pPr>
    </w:p>
    <w:p w:rsidR="00AC3422" w:rsidRPr="00AC3422" w:rsidRDefault="00A318A5" w:rsidP="000D7DAB">
      <w:pPr>
        <w:widowControl w:val="0"/>
        <w:tabs>
          <w:tab w:val="left" w:pos="-1440"/>
          <w:tab w:val="left" w:pos="-720"/>
        </w:tabs>
        <w:spacing w:line="360" w:lineRule="auto"/>
        <w:jc w:val="both"/>
        <w:rPr>
          <w:rFonts w:ascii="Bookman Old Style" w:hAnsi="Bookman Old Style"/>
          <w:sz w:val="26"/>
        </w:rPr>
      </w:pPr>
      <w:r w:rsidRPr="00AC3422">
        <w:rPr>
          <w:rFonts w:ascii="Bookman Old Style" w:hAnsi="Bookman Old Style"/>
          <w:sz w:val="26"/>
        </w:rPr>
        <w:t>Negligence is the failure to use reasonable care</w:t>
      </w:r>
      <w:r w:rsidR="00AC3422" w:rsidRPr="00AC3422">
        <w:rPr>
          <w:rFonts w:ascii="Bookman Old Style" w:hAnsi="Bookman Old Style"/>
          <w:sz w:val="26"/>
        </w:rPr>
        <w:t xml:space="preserve"> to prevent harm to oneself or to others</w:t>
      </w:r>
      <w:r w:rsidRPr="00AC3422">
        <w:rPr>
          <w:rFonts w:ascii="Bookman Old Style" w:hAnsi="Bookman Old Style"/>
          <w:sz w:val="26"/>
        </w:rPr>
        <w:t xml:space="preserve">.  </w:t>
      </w:r>
    </w:p>
    <w:p w:rsidR="00AC3422" w:rsidRPr="00AC3422" w:rsidRDefault="00AC3422" w:rsidP="000D7DAB">
      <w:pPr>
        <w:widowControl w:val="0"/>
        <w:tabs>
          <w:tab w:val="left" w:pos="-1440"/>
          <w:tab w:val="left" w:pos="-720"/>
        </w:tabs>
        <w:spacing w:line="360" w:lineRule="auto"/>
        <w:jc w:val="both"/>
        <w:rPr>
          <w:rFonts w:ascii="Bookman Old Style" w:hAnsi="Bookman Old Style"/>
          <w:sz w:val="26"/>
        </w:rPr>
      </w:pPr>
    </w:p>
    <w:p w:rsidR="004C44B7" w:rsidRPr="00AC3422" w:rsidRDefault="004C44B7" w:rsidP="000D7DAB">
      <w:pPr>
        <w:widowControl w:val="0"/>
        <w:tabs>
          <w:tab w:val="left" w:pos="-1440"/>
          <w:tab w:val="left" w:pos="-720"/>
        </w:tabs>
        <w:spacing w:line="360" w:lineRule="auto"/>
        <w:jc w:val="both"/>
        <w:rPr>
          <w:rFonts w:ascii="Bookman Old Style" w:hAnsi="Bookman Old Style"/>
          <w:sz w:val="26"/>
        </w:rPr>
      </w:pPr>
      <w:r w:rsidRPr="00AC3422">
        <w:rPr>
          <w:rFonts w:ascii="Bookman Old Style" w:hAnsi="Bookman Old Style"/>
          <w:sz w:val="26"/>
        </w:rPr>
        <w:t>A person can be negligent by acting or by failing to act.</w:t>
      </w:r>
      <w:r w:rsidR="00AC3422" w:rsidRPr="00AC3422">
        <w:rPr>
          <w:rFonts w:ascii="Bookman Old Style" w:hAnsi="Bookman Old Style"/>
          <w:sz w:val="26"/>
        </w:rPr>
        <w:t xml:space="preserve"> A person is negligent if he or she does something that a reasonably careful person would not do in the same situation or fails to do something that a reasonably careful person would do in the same situation. The law does not require exception caution or skill, only reasonable care.</w:t>
      </w:r>
      <w:r w:rsidRPr="00AC3422">
        <w:rPr>
          <w:rFonts w:ascii="Bookman Old Style" w:hAnsi="Bookman Old Style"/>
          <w:sz w:val="26"/>
        </w:rPr>
        <w:t xml:space="preserve">    </w:t>
      </w:r>
    </w:p>
    <w:p w:rsidR="004F3529" w:rsidRPr="00AC3422" w:rsidRDefault="004F3529" w:rsidP="000D7DAB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Bookman Old Style" w:hAnsi="Bookman Old Style"/>
        </w:rPr>
      </w:pPr>
    </w:p>
    <w:p w:rsidR="00A318A5" w:rsidRDefault="00AC3422" w:rsidP="000D7DAB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Bookman Old Style" w:hAnsi="Bookman Old Style"/>
        </w:rPr>
      </w:pPr>
      <w:r w:rsidRPr="00AC3422">
        <w:rPr>
          <w:rFonts w:ascii="Bookman Old Style" w:hAnsi="Bookman Old Style"/>
        </w:rPr>
        <w:t>Y</w:t>
      </w:r>
      <w:r w:rsidR="00A318A5" w:rsidRPr="00AC3422">
        <w:rPr>
          <w:rFonts w:ascii="Bookman Old Style" w:hAnsi="Bookman Old Style"/>
        </w:rPr>
        <w:t xml:space="preserve">ou must decide </w:t>
      </w:r>
      <w:r w:rsidRPr="00AC3422">
        <w:rPr>
          <w:rFonts w:ascii="Bookman Old Style" w:hAnsi="Bookman Old Style"/>
        </w:rPr>
        <w:t>ho</w:t>
      </w:r>
      <w:r>
        <w:rPr>
          <w:rFonts w:ascii="Bookman Old Style" w:hAnsi="Bookman Old Style"/>
        </w:rPr>
        <w:t>w a reasonably careful person w</w:t>
      </w:r>
      <w:r w:rsidRPr="00AC3422">
        <w:rPr>
          <w:rFonts w:ascii="Bookman Old Style" w:hAnsi="Bookman Old Style"/>
        </w:rPr>
        <w:t xml:space="preserve">ould have acted in </w:t>
      </w:r>
      <w:r w:rsidR="00A318A5" w:rsidRPr="00AC3422">
        <w:rPr>
          <w:rFonts w:ascii="Bookman Old Style" w:hAnsi="Bookman Old Style"/>
        </w:rPr>
        <w:t>[plaintiff</w:t>
      </w:r>
      <w:r w:rsidRPr="00AC3422">
        <w:rPr>
          <w:rFonts w:ascii="Bookman Old Style" w:hAnsi="Bookman Old Style"/>
        </w:rPr>
        <w:t>’s</w:t>
      </w:r>
      <w:r w:rsidR="00A318A5" w:rsidRPr="00AC3422">
        <w:rPr>
          <w:rFonts w:ascii="Bookman Old Style" w:hAnsi="Bookman Old Style"/>
        </w:rPr>
        <w:t>] [defendant</w:t>
      </w:r>
      <w:r w:rsidRPr="00AC3422">
        <w:rPr>
          <w:rFonts w:ascii="Bookman Old Style" w:hAnsi="Bookman Old Style"/>
        </w:rPr>
        <w:t>’s</w:t>
      </w:r>
      <w:r w:rsidR="00A318A5" w:rsidRPr="00AC3422">
        <w:rPr>
          <w:rFonts w:ascii="Bookman Old Style" w:hAnsi="Bookman Old Style"/>
        </w:rPr>
        <w:t>]</w:t>
      </w:r>
      <w:r w:rsidRPr="00AC3422">
        <w:rPr>
          <w:rFonts w:ascii="Bookman Old Style" w:hAnsi="Bookman Old Style"/>
        </w:rPr>
        <w:t xml:space="preserve"> situation. </w:t>
      </w:r>
    </w:p>
    <w:p w:rsidR="00AC3422" w:rsidRPr="00AC3422" w:rsidRDefault="00AC3422" w:rsidP="001768E8">
      <w:pPr>
        <w:pStyle w:val="BodyText"/>
        <w:spacing w:line="240" w:lineRule="auto"/>
        <w:rPr>
          <w:rFonts w:ascii="Bookman Old Style" w:hAnsi="Bookman Old Style"/>
        </w:rPr>
      </w:pPr>
    </w:p>
    <w:p w:rsidR="00A318A5" w:rsidRPr="000D7DAB" w:rsidRDefault="000D7DAB" w:rsidP="001768E8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</w:rPr>
        <w:t>Direction</w:t>
      </w:r>
      <w:r w:rsidR="00E914F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for Use</w:t>
      </w:r>
    </w:p>
    <w:p w:rsidR="00A318A5" w:rsidRDefault="00A318A5" w:rsidP="001768E8">
      <w:pPr>
        <w:rPr>
          <w:rFonts w:ascii="Bookman Old Style" w:hAnsi="Bookman Old Style"/>
          <w:sz w:val="26"/>
          <w:u w:val="single"/>
        </w:rPr>
      </w:pPr>
    </w:p>
    <w:p w:rsidR="00A318A5" w:rsidRDefault="00A318A5" w:rsidP="001768E8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instruction should be given in all </w:t>
      </w:r>
      <w:r w:rsidR="003D3FDB">
        <w:rPr>
          <w:rFonts w:ascii="Bookman Old Style" w:hAnsi="Bookman Old Style"/>
        </w:rPr>
        <w:t xml:space="preserve">negligence </w:t>
      </w:r>
      <w:r>
        <w:rPr>
          <w:rFonts w:ascii="Bookman Old Style" w:hAnsi="Bookman Old Style"/>
        </w:rPr>
        <w:t>cases</w:t>
      </w:r>
      <w:r w:rsidR="00C616DC">
        <w:rPr>
          <w:rFonts w:ascii="Bookman Old Style" w:hAnsi="Bookman Old Style"/>
        </w:rPr>
        <w:t xml:space="preserve"> </w:t>
      </w:r>
      <w:r w:rsidR="003D3FDB">
        <w:rPr>
          <w:rFonts w:ascii="Bookman Old Style" w:hAnsi="Bookman Old Style"/>
        </w:rPr>
        <w:t>unless</w:t>
      </w:r>
      <w:r w:rsidR="00ED52CC">
        <w:rPr>
          <w:rFonts w:ascii="Bookman Old Style" w:hAnsi="Bookman Old Style"/>
        </w:rPr>
        <w:t xml:space="preserve"> </w:t>
      </w:r>
      <w:r w:rsidR="00B44855">
        <w:rPr>
          <w:rFonts w:ascii="Bookman Old Style" w:hAnsi="Bookman Old Style"/>
        </w:rPr>
        <w:t xml:space="preserve">the </w:t>
      </w:r>
      <w:r w:rsidR="00F558EF">
        <w:rPr>
          <w:rFonts w:ascii="Bookman Old Style" w:hAnsi="Bookman Old Style"/>
        </w:rPr>
        <w:t xml:space="preserve">claim is based exclusively on </w:t>
      </w:r>
      <w:r w:rsidR="00B44855">
        <w:rPr>
          <w:rFonts w:ascii="Bookman Old Style" w:hAnsi="Bookman Old Style"/>
        </w:rPr>
        <w:t>negligence per se and the court has adopted a statute or regulation as the applicable standard of care</w:t>
      </w:r>
      <w:r w:rsidR="003D3FDB">
        <w:rPr>
          <w:rFonts w:ascii="Bookman Old Style" w:hAnsi="Bookman Old Style"/>
        </w:rPr>
        <w:t>. In such cases,</w:t>
      </w:r>
      <w:r w:rsidR="00B44855">
        <w:rPr>
          <w:rFonts w:ascii="Bookman Old Style" w:hAnsi="Bookman Old Style"/>
        </w:rPr>
        <w:t xml:space="preserve"> </w:t>
      </w:r>
      <w:r w:rsidR="000D7DAB">
        <w:rPr>
          <w:rFonts w:ascii="Bookman Old Style" w:hAnsi="Bookman Old Style"/>
        </w:rPr>
        <w:t xml:space="preserve">Instruction </w:t>
      </w:r>
      <w:r w:rsidR="00ED52CC">
        <w:rPr>
          <w:rFonts w:ascii="Bookman Old Style" w:hAnsi="Bookman Old Style"/>
        </w:rPr>
        <w:t xml:space="preserve">3.04A </w:t>
      </w:r>
      <w:r w:rsidR="000D7DAB">
        <w:rPr>
          <w:rFonts w:ascii="Bookman Old Style" w:hAnsi="Bookman Old Style"/>
        </w:rPr>
        <w:t xml:space="preserve">(Violation of Statute-Negligence Per Se) </w:t>
      </w:r>
      <w:r w:rsidR="00ED52CC">
        <w:rPr>
          <w:rFonts w:ascii="Bookman Old Style" w:hAnsi="Bookman Old Style"/>
        </w:rPr>
        <w:t>should be given instead</w:t>
      </w:r>
      <w:r w:rsidR="00B44855">
        <w:rPr>
          <w:rFonts w:ascii="Bookman Old Style" w:hAnsi="Bookman Old Style"/>
        </w:rPr>
        <w:t xml:space="preserve"> of this instruction</w:t>
      </w:r>
      <w:r w:rsidR="00ED52CC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When the negligence of a child is at issue, </w:t>
      </w:r>
      <w:r w:rsidR="000D7DA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nstruction 3.03B</w:t>
      </w:r>
      <w:r w:rsidR="006B1E96">
        <w:rPr>
          <w:rFonts w:ascii="Bookman Old Style" w:hAnsi="Bookman Old Style"/>
        </w:rPr>
        <w:t xml:space="preserve"> </w:t>
      </w:r>
      <w:r w:rsidR="000D7DAB">
        <w:rPr>
          <w:rFonts w:ascii="Bookman Old Style" w:hAnsi="Bookman Old Style"/>
        </w:rPr>
        <w:t xml:space="preserve">(Negligence Defined-Child) </w:t>
      </w:r>
      <w:r w:rsidR="006B1E96">
        <w:rPr>
          <w:rFonts w:ascii="Bookman Old Style" w:hAnsi="Bookman Old Style"/>
        </w:rPr>
        <w:t>or 3.03C</w:t>
      </w:r>
      <w:r w:rsidR="000D7DAB">
        <w:rPr>
          <w:rFonts w:ascii="Bookman Old Style" w:hAnsi="Bookman Old Style"/>
        </w:rPr>
        <w:t xml:space="preserve"> (Negligence Defined-Capacity of Child under Seven)</w:t>
      </w:r>
      <w:r>
        <w:rPr>
          <w:rFonts w:ascii="Bookman Old Style" w:hAnsi="Bookman Old Style"/>
        </w:rPr>
        <w:t xml:space="preserve"> should be given </w:t>
      </w:r>
      <w:r w:rsidR="003D3FDB">
        <w:rPr>
          <w:rFonts w:ascii="Bookman Old Style" w:hAnsi="Bookman Old Style"/>
        </w:rPr>
        <w:t>with</w:t>
      </w:r>
      <w:r>
        <w:rPr>
          <w:rFonts w:ascii="Bookman Old Style" w:hAnsi="Bookman Old Style"/>
        </w:rPr>
        <w:t xml:space="preserve"> this instruction.</w:t>
      </w:r>
    </w:p>
    <w:p w:rsidR="00A318A5" w:rsidRDefault="00A318A5" w:rsidP="001768E8">
      <w:pPr>
        <w:jc w:val="both"/>
        <w:rPr>
          <w:rFonts w:ascii="Bookman Old Style" w:hAnsi="Bookman Old Style"/>
          <w:sz w:val="26"/>
        </w:rPr>
      </w:pPr>
    </w:p>
    <w:p w:rsidR="00A318A5" w:rsidRPr="000D7DAB" w:rsidRDefault="00A318A5" w:rsidP="001768E8">
      <w:pPr>
        <w:pStyle w:val="Heading1"/>
        <w:rPr>
          <w:rFonts w:ascii="Bookman Old Style" w:hAnsi="Bookman Old Style"/>
        </w:rPr>
      </w:pPr>
      <w:r w:rsidRPr="000D7DAB">
        <w:rPr>
          <w:rFonts w:ascii="Bookman Old Style" w:hAnsi="Bookman Old Style"/>
        </w:rPr>
        <w:t>Comment</w:t>
      </w:r>
    </w:p>
    <w:p w:rsidR="00A318A5" w:rsidRDefault="00A318A5" w:rsidP="001768E8">
      <w:pPr>
        <w:rPr>
          <w:rFonts w:ascii="Bookman Old Style" w:hAnsi="Bookman Old Style"/>
          <w:sz w:val="26"/>
        </w:rPr>
      </w:pPr>
    </w:p>
    <w:p w:rsidR="00AC3422" w:rsidRDefault="00AC3422" w:rsidP="001768E8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This instruction is modeled after California Pattern Instruction 401. </w:t>
      </w:r>
    </w:p>
    <w:p w:rsidR="00AC3422" w:rsidRDefault="00AC3422" w:rsidP="001768E8">
      <w:pPr>
        <w:jc w:val="both"/>
        <w:rPr>
          <w:rFonts w:ascii="Bookman Old Style" w:hAnsi="Bookman Old Style"/>
          <w:sz w:val="26"/>
        </w:rPr>
      </w:pPr>
    </w:p>
    <w:p w:rsidR="00152020" w:rsidRPr="004F4F48" w:rsidRDefault="00AB2450" w:rsidP="001768E8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</w:t>
      </w:r>
      <w:r w:rsidR="00A318A5">
        <w:rPr>
          <w:rFonts w:ascii="Bookman Old Style" w:hAnsi="Bookman Old Style"/>
          <w:sz w:val="26"/>
        </w:rPr>
        <w:t xml:space="preserve">he jury is required to weigh </w:t>
      </w:r>
      <w:r>
        <w:rPr>
          <w:rFonts w:ascii="Bookman Old Style" w:hAnsi="Bookman Old Style"/>
          <w:sz w:val="26"/>
        </w:rPr>
        <w:t xml:space="preserve">the </w:t>
      </w:r>
      <w:r w:rsidR="00A318A5">
        <w:rPr>
          <w:rFonts w:ascii="Bookman Old Style" w:hAnsi="Bookman Old Style"/>
          <w:sz w:val="26"/>
        </w:rPr>
        <w:t xml:space="preserve">actions of persons charged with negligence against the standard of conduct of a reasonable person in </w:t>
      </w:r>
      <w:r w:rsidR="00330B4F">
        <w:rPr>
          <w:rFonts w:ascii="Bookman Old Style" w:hAnsi="Bookman Old Style"/>
          <w:sz w:val="26"/>
        </w:rPr>
        <w:t>similar</w:t>
      </w:r>
      <w:r w:rsidR="00A318A5">
        <w:rPr>
          <w:rFonts w:ascii="Bookman Old Style" w:hAnsi="Bookman Old Style"/>
          <w:sz w:val="26"/>
        </w:rPr>
        <w:t xml:space="preserve"> circumstances. </w:t>
      </w:r>
      <w:smartTag w:uri="urn:schemas-microsoft-com:office:smarttags" w:element="City">
        <w:smartTag w:uri="urn:schemas-microsoft-com:office:smarttags" w:element="place">
          <w:r w:rsidR="004F4F48" w:rsidRPr="00C616DC">
            <w:rPr>
              <w:rFonts w:ascii="Bookman Old Style" w:hAnsi="Bookman Old Style"/>
              <w:i/>
              <w:sz w:val="26"/>
            </w:rPr>
            <w:t>Lyons</w:t>
          </w:r>
        </w:smartTag>
      </w:smartTag>
      <w:r w:rsidR="004F4F48" w:rsidRPr="00C616DC">
        <w:rPr>
          <w:rFonts w:ascii="Bookman Old Style" w:hAnsi="Bookman Old Style"/>
          <w:i/>
          <w:sz w:val="26"/>
        </w:rPr>
        <w:t xml:space="preserve"> v. Midnight Sun Transp. Services, Inc.</w:t>
      </w:r>
      <w:r w:rsidR="004F4F48">
        <w:rPr>
          <w:rFonts w:ascii="Bookman Old Style" w:hAnsi="Bookman Old Style"/>
          <w:sz w:val="26"/>
        </w:rPr>
        <w:t>, 928 P.2d 1202, 1203 (</w:t>
      </w:r>
      <w:smartTag w:uri="urn:schemas-microsoft-com:office:smarttags" w:element="State">
        <w:smartTag w:uri="urn:schemas-microsoft-com:office:smarttags" w:element="place">
          <w:r w:rsidR="004F4F48">
            <w:rPr>
              <w:rFonts w:ascii="Bookman Old Style" w:hAnsi="Bookman Old Style"/>
              <w:sz w:val="26"/>
            </w:rPr>
            <w:t>Alaska</w:t>
          </w:r>
        </w:smartTag>
      </w:smartTag>
      <w:r w:rsidR="004F4F48">
        <w:rPr>
          <w:rFonts w:ascii="Bookman Old Style" w:hAnsi="Bookman Old Style"/>
          <w:sz w:val="26"/>
        </w:rPr>
        <w:t xml:space="preserve"> 1996). </w:t>
      </w:r>
    </w:p>
    <w:p w:rsidR="00152020" w:rsidRDefault="00152020" w:rsidP="000D7DAB">
      <w:pPr>
        <w:jc w:val="both"/>
        <w:rPr>
          <w:rFonts w:ascii="Bookman Old Style" w:hAnsi="Bookman Old Style"/>
          <w:sz w:val="26"/>
        </w:rPr>
      </w:pPr>
    </w:p>
    <w:p w:rsidR="00A318A5" w:rsidRDefault="00F558EF" w:rsidP="00C616DC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A negligence claim may be based on </w:t>
      </w:r>
      <w:r w:rsidR="00330B4F">
        <w:rPr>
          <w:rFonts w:ascii="Bookman Old Style" w:hAnsi="Bookman Old Style"/>
          <w:sz w:val="26"/>
        </w:rPr>
        <w:t>a</w:t>
      </w:r>
      <w:r w:rsidR="0036558E">
        <w:rPr>
          <w:rFonts w:ascii="Bookman Old Style" w:hAnsi="Bookman Old Style"/>
          <w:sz w:val="26"/>
        </w:rPr>
        <w:t xml:space="preserve"> failure to act. </w:t>
      </w:r>
      <w:r w:rsidR="00047FD1" w:rsidRPr="00C616DC">
        <w:rPr>
          <w:rFonts w:ascii="Bookman Old Style" w:hAnsi="Bookman Old Style"/>
          <w:i/>
          <w:sz w:val="26"/>
        </w:rPr>
        <w:t>See</w:t>
      </w:r>
      <w:r w:rsidR="00A318A5">
        <w:rPr>
          <w:rFonts w:ascii="Bookman Old Style" w:hAnsi="Bookman Old Style"/>
          <w:sz w:val="26"/>
        </w:rPr>
        <w:t xml:space="preserve"> </w:t>
      </w:r>
      <w:r w:rsidR="00A318A5" w:rsidRPr="00C616DC">
        <w:rPr>
          <w:rFonts w:ascii="Bookman Old Style" w:hAnsi="Bookman Old Style"/>
          <w:i/>
          <w:sz w:val="26"/>
        </w:rPr>
        <w:t>State v. Guinn</w:t>
      </w:r>
      <w:r w:rsidR="00A318A5">
        <w:rPr>
          <w:rFonts w:ascii="Bookman Old Style" w:hAnsi="Bookman Old Style"/>
          <w:sz w:val="26"/>
        </w:rPr>
        <w:t>, 555 P.2d 530, 536 (</w:t>
      </w:r>
      <w:smartTag w:uri="urn:schemas-microsoft-com:office:smarttags" w:element="State">
        <w:smartTag w:uri="urn:schemas-microsoft-com:office:smarttags" w:element="place">
          <w:r w:rsidR="00A318A5">
            <w:rPr>
              <w:rFonts w:ascii="Bookman Old Style" w:hAnsi="Bookman Old Style"/>
              <w:sz w:val="26"/>
            </w:rPr>
            <w:t>Alaska</w:t>
          </w:r>
        </w:smartTag>
      </w:smartTag>
      <w:r w:rsidR="00A318A5">
        <w:rPr>
          <w:rFonts w:ascii="Bookman Old Style" w:hAnsi="Bookman Old Style"/>
          <w:sz w:val="26"/>
        </w:rPr>
        <w:t xml:space="preserve"> 1976)</w:t>
      </w:r>
      <w:r w:rsidR="00047FD1">
        <w:rPr>
          <w:rFonts w:ascii="Bookman Old Style" w:hAnsi="Bookman Old Style"/>
          <w:sz w:val="26"/>
        </w:rPr>
        <w:t>(</w:t>
      </w:r>
      <w:r w:rsidR="0036558E">
        <w:rPr>
          <w:rFonts w:ascii="Bookman Old Style" w:hAnsi="Bookman Old Style"/>
          <w:sz w:val="26"/>
        </w:rPr>
        <w:t xml:space="preserve">state’s failure to remove abandoned vehicle breached the </w:t>
      </w:r>
      <w:r w:rsidR="00047FD1">
        <w:rPr>
          <w:rFonts w:ascii="Bookman Old Style" w:hAnsi="Bookman Old Style"/>
          <w:sz w:val="26"/>
        </w:rPr>
        <w:t>state</w:t>
      </w:r>
      <w:r w:rsidR="0036558E">
        <w:rPr>
          <w:rFonts w:ascii="Bookman Old Style" w:hAnsi="Bookman Old Style"/>
          <w:sz w:val="26"/>
        </w:rPr>
        <w:t xml:space="preserve">’s duty </w:t>
      </w:r>
      <w:r w:rsidR="00047FD1">
        <w:rPr>
          <w:rFonts w:ascii="Bookman Old Style" w:hAnsi="Bookman Old Style"/>
          <w:sz w:val="26"/>
        </w:rPr>
        <w:t>to maintain road</w:t>
      </w:r>
      <w:r w:rsidR="0036558E">
        <w:rPr>
          <w:rFonts w:ascii="Bookman Old Style" w:hAnsi="Bookman Old Style"/>
          <w:sz w:val="26"/>
        </w:rPr>
        <w:t>way</w:t>
      </w:r>
      <w:r w:rsidR="00047FD1">
        <w:rPr>
          <w:rFonts w:ascii="Bookman Old Style" w:hAnsi="Bookman Old Style"/>
          <w:sz w:val="26"/>
        </w:rPr>
        <w:t>)</w:t>
      </w:r>
      <w:r w:rsidR="00A318A5">
        <w:rPr>
          <w:rFonts w:ascii="Bookman Old Style" w:hAnsi="Bookman Old Style"/>
          <w:sz w:val="26"/>
        </w:rPr>
        <w:t>.</w:t>
      </w:r>
    </w:p>
    <w:p w:rsidR="006239F4" w:rsidRDefault="006239F4" w:rsidP="00C616DC">
      <w:pPr>
        <w:jc w:val="both"/>
        <w:rPr>
          <w:rFonts w:ascii="Bookman Old Style" w:hAnsi="Bookman Old Style"/>
          <w:sz w:val="26"/>
        </w:rPr>
      </w:pPr>
    </w:p>
    <w:p w:rsidR="00A318A5" w:rsidRDefault="006239F4" w:rsidP="000D7DAB">
      <w:pPr>
        <w:widowControl w:val="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A child who engages in adu</w:t>
      </w:r>
      <w:r w:rsidR="00C616DC">
        <w:rPr>
          <w:rFonts w:ascii="Bookman Old Style" w:hAnsi="Bookman Old Style"/>
          <w:sz w:val="26"/>
        </w:rPr>
        <w:t xml:space="preserve">lt activities for which </w:t>
      </w:r>
      <w:r>
        <w:rPr>
          <w:rFonts w:ascii="Bookman Old Style" w:hAnsi="Bookman Old Style"/>
          <w:sz w:val="26"/>
        </w:rPr>
        <w:t xml:space="preserve">adult qualifications are required may be held to an adult standard of care.  </w:t>
      </w:r>
      <w:r w:rsidRPr="00C616DC">
        <w:rPr>
          <w:rFonts w:ascii="Bookman Old Style" w:hAnsi="Bookman Old Style"/>
          <w:i/>
          <w:sz w:val="26"/>
          <w:szCs w:val="26"/>
        </w:rPr>
        <w:t>See Ardinger v. Hummell</w:t>
      </w:r>
      <w:r w:rsidRPr="006239F4">
        <w:rPr>
          <w:rFonts w:ascii="Bookman Old Style" w:hAnsi="Bookman Old Style"/>
          <w:sz w:val="26"/>
          <w:szCs w:val="26"/>
        </w:rPr>
        <w:t>, 982 P.2d 727, 731 (</w:t>
      </w:r>
      <w:smartTag w:uri="urn:schemas-microsoft-com:office:smarttags" w:element="State">
        <w:smartTag w:uri="urn:schemas-microsoft-com:office:smarttags" w:element="place">
          <w:r w:rsidRPr="006239F4">
            <w:rPr>
              <w:rFonts w:ascii="Bookman Old Style" w:hAnsi="Bookman Old Style"/>
              <w:sz w:val="26"/>
              <w:szCs w:val="26"/>
            </w:rPr>
            <w:t>Alaska</w:t>
          </w:r>
        </w:smartTag>
      </w:smartTag>
      <w:r w:rsidRPr="006239F4">
        <w:rPr>
          <w:rFonts w:ascii="Bookman Old Style" w:hAnsi="Bookman Old Style"/>
          <w:sz w:val="26"/>
          <w:szCs w:val="26"/>
        </w:rPr>
        <w:t xml:space="preserve"> 1999)</w:t>
      </w:r>
      <w:r w:rsidR="00093C23">
        <w:rPr>
          <w:rFonts w:ascii="Bookman Old Style" w:hAnsi="Bookman Old Style"/>
          <w:sz w:val="26"/>
          <w:szCs w:val="26"/>
        </w:rPr>
        <w:t>(child driving car)</w:t>
      </w:r>
      <w:r>
        <w:rPr>
          <w:rFonts w:ascii="Bookman Old Style" w:hAnsi="Bookman Old Style"/>
          <w:sz w:val="26"/>
          <w:szCs w:val="26"/>
        </w:rPr>
        <w:t xml:space="preserve">.  </w:t>
      </w:r>
    </w:p>
    <w:sectPr w:rsidR="00A318A5" w:rsidSect="000D7DAB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7B" w:rsidRDefault="00A2357B">
      <w:r>
        <w:separator/>
      </w:r>
    </w:p>
  </w:endnote>
  <w:endnote w:type="continuationSeparator" w:id="0">
    <w:p w:rsidR="00A2357B" w:rsidRDefault="00A2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96" w:rsidRPr="00597892" w:rsidRDefault="00E914F5" w:rsidP="00597892">
    <w:pPr>
      <w:pStyle w:val="Footer"/>
      <w:tabs>
        <w:tab w:val="clear" w:pos="8640"/>
        <w:tab w:val="right" w:pos="9360"/>
      </w:tabs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</w:rPr>
      <w:t>2008</w:t>
    </w:r>
    <w:r w:rsidR="006B1E96">
      <w:rPr>
        <w:rFonts w:ascii="Bookman Old Style" w:hAnsi="Bookman Old Style"/>
        <w:sz w:val="24"/>
      </w:rPr>
      <w:tab/>
    </w:r>
    <w:r w:rsidR="006B1E96">
      <w:rPr>
        <w:rFonts w:ascii="Bookman Old Style" w:hAnsi="Bookman Old Style"/>
        <w:sz w:val="24"/>
      </w:rPr>
      <w:tab/>
    </w:r>
    <w:r w:rsidR="006B1E96" w:rsidRPr="00597892">
      <w:rPr>
        <w:rFonts w:ascii="Bookman Old Style" w:hAnsi="Bookman Old Style"/>
        <w:sz w:val="24"/>
        <w:szCs w:val="24"/>
      </w:rPr>
      <w:t xml:space="preserve">03.03A - </w:t>
    </w:r>
    <w:r w:rsidR="006B1E96" w:rsidRPr="00597892">
      <w:rPr>
        <w:rStyle w:val="PageNumber"/>
        <w:rFonts w:ascii="Bookman Old Style" w:hAnsi="Bookman Old Style"/>
        <w:sz w:val="24"/>
        <w:szCs w:val="24"/>
      </w:rPr>
      <w:fldChar w:fldCharType="begin"/>
    </w:r>
    <w:r w:rsidR="006B1E96" w:rsidRPr="00597892">
      <w:rPr>
        <w:rStyle w:val="PageNumber"/>
        <w:rFonts w:ascii="Bookman Old Style" w:hAnsi="Bookman Old Style"/>
        <w:sz w:val="24"/>
        <w:szCs w:val="24"/>
      </w:rPr>
      <w:instrText xml:space="preserve"> PAGE </w:instrText>
    </w:r>
    <w:r w:rsidR="006B1E96" w:rsidRPr="00597892">
      <w:rPr>
        <w:rStyle w:val="PageNumber"/>
        <w:rFonts w:ascii="Bookman Old Style" w:hAnsi="Bookman Old Style"/>
        <w:sz w:val="24"/>
        <w:szCs w:val="24"/>
      </w:rPr>
      <w:fldChar w:fldCharType="separate"/>
    </w:r>
    <w:r w:rsidR="004D62BD">
      <w:rPr>
        <w:rStyle w:val="PageNumber"/>
        <w:rFonts w:ascii="Bookman Old Style" w:hAnsi="Bookman Old Style"/>
        <w:noProof/>
        <w:sz w:val="24"/>
        <w:szCs w:val="24"/>
      </w:rPr>
      <w:t>1</w:t>
    </w:r>
    <w:r w:rsidR="006B1E96" w:rsidRPr="00597892">
      <w:rPr>
        <w:rStyle w:val="PageNumber"/>
        <w:rFonts w:ascii="Bookman Old Style" w:hAnsi="Bookman Old Styl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7B" w:rsidRDefault="00A2357B">
      <w:r>
        <w:separator/>
      </w:r>
    </w:p>
  </w:footnote>
  <w:footnote w:type="continuationSeparator" w:id="0">
    <w:p w:rsidR="00A2357B" w:rsidRDefault="00A2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96" w:rsidRPr="004B0D6A" w:rsidRDefault="006B1E96">
    <w:pPr>
      <w:pStyle w:val="Header"/>
      <w:jc w:val="right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92"/>
    <w:rsid w:val="00047FD1"/>
    <w:rsid w:val="00070856"/>
    <w:rsid w:val="00093C23"/>
    <w:rsid w:val="000979A2"/>
    <w:rsid w:val="000D7DAB"/>
    <w:rsid w:val="0011675D"/>
    <w:rsid w:val="00136D08"/>
    <w:rsid w:val="00152020"/>
    <w:rsid w:val="00152346"/>
    <w:rsid w:val="001646D6"/>
    <w:rsid w:val="00165E4C"/>
    <w:rsid w:val="001768E8"/>
    <w:rsid w:val="00197B68"/>
    <w:rsid w:val="001E65E4"/>
    <w:rsid w:val="00277F5C"/>
    <w:rsid w:val="002B6514"/>
    <w:rsid w:val="002F2EC8"/>
    <w:rsid w:val="00330B4F"/>
    <w:rsid w:val="00334860"/>
    <w:rsid w:val="0036558E"/>
    <w:rsid w:val="003726C2"/>
    <w:rsid w:val="003D0291"/>
    <w:rsid w:val="003D3FDB"/>
    <w:rsid w:val="00404B1C"/>
    <w:rsid w:val="00461CDA"/>
    <w:rsid w:val="004B0D6A"/>
    <w:rsid w:val="004C44B7"/>
    <w:rsid w:val="004D62BD"/>
    <w:rsid w:val="004D77A8"/>
    <w:rsid w:val="004E45D5"/>
    <w:rsid w:val="004F3529"/>
    <w:rsid w:val="004F4F48"/>
    <w:rsid w:val="00504D8C"/>
    <w:rsid w:val="005324FF"/>
    <w:rsid w:val="00571C17"/>
    <w:rsid w:val="00597892"/>
    <w:rsid w:val="005B0D9A"/>
    <w:rsid w:val="00606435"/>
    <w:rsid w:val="006239F4"/>
    <w:rsid w:val="006514D1"/>
    <w:rsid w:val="006561CB"/>
    <w:rsid w:val="006B1E96"/>
    <w:rsid w:val="007234B6"/>
    <w:rsid w:val="007C1606"/>
    <w:rsid w:val="007D5EB3"/>
    <w:rsid w:val="008179EC"/>
    <w:rsid w:val="008331CC"/>
    <w:rsid w:val="008432DB"/>
    <w:rsid w:val="00946AE3"/>
    <w:rsid w:val="009A0374"/>
    <w:rsid w:val="00A054D0"/>
    <w:rsid w:val="00A2357B"/>
    <w:rsid w:val="00A318A5"/>
    <w:rsid w:val="00A610AE"/>
    <w:rsid w:val="00A74217"/>
    <w:rsid w:val="00A94799"/>
    <w:rsid w:val="00A955C6"/>
    <w:rsid w:val="00AB14DE"/>
    <w:rsid w:val="00AB2450"/>
    <w:rsid w:val="00AC3422"/>
    <w:rsid w:val="00AD5477"/>
    <w:rsid w:val="00B10B32"/>
    <w:rsid w:val="00B44855"/>
    <w:rsid w:val="00C0198C"/>
    <w:rsid w:val="00C3525C"/>
    <w:rsid w:val="00C44B86"/>
    <w:rsid w:val="00C616DC"/>
    <w:rsid w:val="00CB2499"/>
    <w:rsid w:val="00CC5DF8"/>
    <w:rsid w:val="00CD22DA"/>
    <w:rsid w:val="00CD23F7"/>
    <w:rsid w:val="00D40F4A"/>
    <w:rsid w:val="00DC47C1"/>
    <w:rsid w:val="00E02C86"/>
    <w:rsid w:val="00E67EB2"/>
    <w:rsid w:val="00E723D8"/>
    <w:rsid w:val="00E914F5"/>
    <w:rsid w:val="00EA1181"/>
    <w:rsid w:val="00EC46D9"/>
    <w:rsid w:val="00ED0471"/>
    <w:rsid w:val="00ED52CC"/>
    <w:rsid w:val="00F30947"/>
    <w:rsid w:val="00F5123F"/>
    <w:rsid w:val="00F519F7"/>
    <w:rsid w:val="00F558EF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360" w:lineRule="auto"/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sz w:val="26"/>
      <w:u w:val="single"/>
    </w:rPr>
  </w:style>
  <w:style w:type="character" w:styleId="PageNumber">
    <w:name w:val="page number"/>
    <w:basedOn w:val="DefaultParagraphFont"/>
  </w:style>
  <w:style w:type="paragraph" w:customStyle="1" w:styleId="OmniPage1">
    <w:name w:val="OmniPage #1"/>
    <w:basedOn w:val="Normal"/>
    <w:rsid w:val="00ED52CC"/>
    <w:pPr>
      <w:spacing w:line="240" w:lineRule="exact"/>
    </w:pPr>
    <w:rPr>
      <w:rFonts w:ascii="Courier New" w:hAnsi="Courier New"/>
      <w:noProof/>
    </w:rPr>
  </w:style>
  <w:style w:type="paragraph" w:styleId="BalloonText">
    <w:name w:val="Balloon Text"/>
    <w:basedOn w:val="Normal"/>
    <w:semiHidden/>
    <w:rsid w:val="00ED5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360" w:lineRule="auto"/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sz w:val="26"/>
      <w:u w:val="single"/>
    </w:rPr>
  </w:style>
  <w:style w:type="character" w:styleId="PageNumber">
    <w:name w:val="page number"/>
    <w:basedOn w:val="DefaultParagraphFont"/>
  </w:style>
  <w:style w:type="paragraph" w:customStyle="1" w:styleId="OmniPage1">
    <w:name w:val="OmniPage #1"/>
    <w:basedOn w:val="Normal"/>
    <w:rsid w:val="00ED52CC"/>
    <w:pPr>
      <w:spacing w:line="240" w:lineRule="exact"/>
    </w:pPr>
    <w:rPr>
      <w:rFonts w:ascii="Courier New" w:hAnsi="Courier New"/>
      <w:noProof/>
    </w:rPr>
  </w:style>
  <w:style w:type="paragraph" w:styleId="BalloonText">
    <w:name w:val="Balloon Text"/>
    <w:basedOn w:val="Normal"/>
    <w:semiHidden/>
    <w:rsid w:val="00ED5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 Changes Draft </vt:lpstr>
    </vt:vector>
  </TitlesOfParts>
  <Company>Alaska Court System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Changes Draft </dc:title>
  <dc:subject/>
  <dc:creator>korzechowski</dc:creator>
  <cp:keywords/>
  <dc:description/>
  <cp:lastModifiedBy>Michael Merrington</cp:lastModifiedBy>
  <cp:revision>3</cp:revision>
  <cp:lastPrinted>2008-07-21T18:25:00Z</cp:lastPrinted>
  <dcterms:created xsi:type="dcterms:W3CDTF">2017-04-04T18:47:00Z</dcterms:created>
  <dcterms:modified xsi:type="dcterms:W3CDTF">2017-04-04T18:47:00Z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-39761494</vt:i4>
  </property>
  <property fmtid="{D5CDD505-2E9C-101B-9397-08002B2CF9AE}" pid="3" name="_EmailSubject">
    <vt:lpwstr>Supplement 15</vt:lpwstr>
  </property>
  <property fmtid="{D5CDD505-2E9C-101B-9397-08002B2CF9AE}" pid="4" name="_AuthorEmail">
    <vt:lpwstr>jhoenack@courts.state.ak.us</vt:lpwstr>
  </property>
  <property fmtid="{D5CDD505-2E9C-101B-9397-08002B2CF9AE}" pid="5" name="_AuthorEmailDisplayName">
    <vt:lpwstr>Jennie Marshall-Hoenack</vt:lpwstr>
  </property>
  <property fmtid="{D5CDD505-2E9C-101B-9397-08002B2CF9AE}" pid="6" name="_ReviewingToolsShownOnce">
    <vt:lpwstr/>
  </property>
</Properties>
</file>