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DE" w:rsidRPr="00DD4D2A" w:rsidRDefault="005072DE" w:rsidP="00802D10">
      <w:pPr>
        <w:spacing w:line="360" w:lineRule="auto"/>
        <w:rPr>
          <w:rFonts w:ascii="Bookman Old Style" w:hAnsi="Bookman Old Style"/>
          <w:b/>
          <w:bCs/>
        </w:rPr>
      </w:pPr>
      <w:bookmarkStart w:id="0" w:name="_GoBack"/>
      <w:bookmarkEnd w:id="0"/>
      <w:r w:rsidRPr="00DD4D2A">
        <w:rPr>
          <w:rFonts w:ascii="Bookman Old Style" w:hAnsi="Bookman Old Style"/>
          <w:b/>
          <w:bCs/>
        </w:rPr>
        <w:t>3.0</w:t>
      </w:r>
      <w:r w:rsidR="00523A11" w:rsidRPr="00DD4D2A">
        <w:rPr>
          <w:rFonts w:ascii="Bookman Old Style" w:hAnsi="Bookman Old Style"/>
          <w:b/>
          <w:bCs/>
        </w:rPr>
        <w:t>3B</w:t>
      </w:r>
      <w:r w:rsidR="00523A11" w:rsidRPr="00DD4D2A">
        <w:rPr>
          <w:rFonts w:ascii="Bookman Old Style" w:hAnsi="Bookman Old Style"/>
          <w:b/>
          <w:bCs/>
        </w:rPr>
        <w:tab/>
        <w:t>NEGLIGENCE DEFINED – CHILD</w:t>
      </w:r>
    </w:p>
    <w:p w:rsidR="005072DE" w:rsidRDefault="005072DE" w:rsidP="00802D10">
      <w:pPr>
        <w:spacing w:line="360" w:lineRule="auto"/>
        <w:rPr>
          <w:rFonts w:ascii="Bookman Old Style" w:hAnsi="Bookman Old Style"/>
        </w:rPr>
      </w:pPr>
    </w:p>
    <w:p w:rsidR="005325DD" w:rsidRDefault="005072DE" w:rsidP="00802D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[</w:t>
      </w:r>
      <w:r w:rsidR="002B20F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laintiff] [</w:t>
      </w:r>
      <w:r w:rsidR="002B20F1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efendant] </w:t>
      </w:r>
      <w:r w:rsidR="005325DD">
        <w:rPr>
          <w:rFonts w:ascii="Bookman Old Style" w:hAnsi="Bookman Old Style"/>
        </w:rPr>
        <w:t>was ___ years old at the time of the incident</w:t>
      </w:r>
      <w:r>
        <w:rPr>
          <w:rFonts w:ascii="Bookman Old Style" w:hAnsi="Bookman Old Style"/>
        </w:rPr>
        <w:t>.</w:t>
      </w:r>
      <w:r w:rsidR="002B20F1">
        <w:rPr>
          <w:rFonts w:ascii="Bookman Old Style" w:hAnsi="Bookman Old Style"/>
        </w:rPr>
        <w:t xml:space="preserve"> Children are not held to the same standards of behavior as adults. For children, reasonable care is</w:t>
      </w:r>
      <w:r w:rsidR="007D4608">
        <w:rPr>
          <w:rFonts w:ascii="Bookman Old Style" w:hAnsi="Bookman Old Style"/>
        </w:rPr>
        <w:t xml:space="preserve"> </w:t>
      </w:r>
      <w:r w:rsidR="002B20F1">
        <w:rPr>
          <w:rFonts w:ascii="Bookman Old Style" w:hAnsi="Bookman Old Style"/>
        </w:rPr>
        <w:t>the</w:t>
      </w:r>
      <w:r w:rsidR="005325DD">
        <w:rPr>
          <w:rFonts w:ascii="Bookman Old Style" w:hAnsi="Bookman Old Style"/>
        </w:rPr>
        <w:t xml:space="preserve"> amount of care that a reasonabl</w:t>
      </w:r>
      <w:r w:rsidR="002B20F1">
        <w:rPr>
          <w:rFonts w:ascii="Bookman Old Style" w:hAnsi="Bookman Old Style"/>
        </w:rPr>
        <w:t>e</w:t>
      </w:r>
      <w:r w:rsidR="007D460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child of the same age, intelligence, knowledge, and experience would use </w:t>
      </w:r>
      <w:r w:rsidR="002B20F1">
        <w:rPr>
          <w:rFonts w:ascii="Bookman Old Style" w:hAnsi="Bookman Old Style"/>
        </w:rPr>
        <w:t>in a similar situation</w:t>
      </w:r>
      <w:r>
        <w:rPr>
          <w:rFonts w:ascii="Bookman Old Style" w:hAnsi="Bookman Old Style"/>
        </w:rPr>
        <w:t xml:space="preserve">. </w:t>
      </w:r>
    </w:p>
    <w:p w:rsidR="005325DD" w:rsidRDefault="005325DD" w:rsidP="00802D10">
      <w:pPr>
        <w:pStyle w:val="BodyText"/>
        <w:spacing w:line="240" w:lineRule="auto"/>
        <w:rPr>
          <w:rFonts w:ascii="Bookman Old Style" w:hAnsi="Bookman Old Style"/>
        </w:rPr>
      </w:pPr>
    </w:p>
    <w:p w:rsidR="005072DE" w:rsidRDefault="00DD4D2A" w:rsidP="00802D10">
      <w:pPr>
        <w:pStyle w:val="Heading2"/>
        <w:spacing w:line="240" w:lineRule="auto"/>
        <w:rPr>
          <w:rFonts w:ascii="Bookman Old Style" w:hAnsi="Bookman Old Style"/>
          <w:b w:val="0"/>
          <w:caps w:val="0"/>
          <w:u w:val="single"/>
        </w:rPr>
      </w:pPr>
      <w:r>
        <w:rPr>
          <w:rFonts w:ascii="Bookman Old Style" w:hAnsi="Bookman Old Style"/>
          <w:b w:val="0"/>
          <w:caps w:val="0"/>
          <w:u w:val="single"/>
        </w:rPr>
        <w:t>Direction</w:t>
      </w:r>
      <w:r w:rsidR="00265C7F">
        <w:rPr>
          <w:rFonts w:ascii="Bookman Old Style" w:hAnsi="Bookman Old Style"/>
          <w:b w:val="0"/>
          <w:caps w:val="0"/>
          <w:u w:val="single"/>
        </w:rPr>
        <w:t>s</w:t>
      </w:r>
      <w:r>
        <w:rPr>
          <w:rFonts w:ascii="Bookman Old Style" w:hAnsi="Bookman Old Style"/>
          <w:b w:val="0"/>
          <w:caps w:val="0"/>
          <w:u w:val="single"/>
        </w:rPr>
        <w:t xml:space="preserve"> for Use</w:t>
      </w:r>
    </w:p>
    <w:p w:rsidR="00DD4D2A" w:rsidRPr="00DD4D2A" w:rsidRDefault="00DD4D2A" w:rsidP="00802D10"/>
    <w:p w:rsidR="005072DE" w:rsidRDefault="005072DE" w:rsidP="00802D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instruction should be given </w:t>
      </w:r>
      <w:r w:rsidR="00551FF2">
        <w:rPr>
          <w:rFonts w:ascii="Bookman Old Style" w:hAnsi="Bookman Old Style"/>
        </w:rPr>
        <w:t xml:space="preserve">with </w:t>
      </w:r>
      <w:r w:rsidR="00DD4D2A">
        <w:rPr>
          <w:rFonts w:ascii="Bookman Old Style" w:hAnsi="Bookman Old Style"/>
        </w:rPr>
        <w:t>I</w:t>
      </w:r>
      <w:r w:rsidR="00551FF2">
        <w:rPr>
          <w:rFonts w:ascii="Bookman Old Style" w:hAnsi="Bookman Old Style"/>
        </w:rPr>
        <w:t>nstruction 3.03A</w:t>
      </w:r>
      <w:r w:rsidR="00DD4D2A">
        <w:rPr>
          <w:rFonts w:ascii="Bookman Old Style" w:hAnsi="Bookman Old Style"/>
        </w:rPr>
        <w:t xml:space="preserve"> (Negligence Defined-Adult)</w:t>
      </w:r>
      <w:r w:rsidR="00551FF2">
        <w:rPr>
          <w:rFonts w:ascii="Bookman Old Style" w:hAnsi="Bookman Old Style"/>
        </w:rPr>
        <w:t xml:space="preserve"> </w:t>
      </w:r>
      <w:r w:rsidR="00003246">
        <w:rPr>
          <w:rFonts w:ascii="Bookman Old Style" w:hAnsi="Bookman Old Style"/>
        </w:rPr>
        <w:t>when</w:t>
      </w:r>
      <w:r>
        <w:rPr>
          <w:rFonts w:ascii="Bookman Old Style" w:hAnsi="Bookman Old Style"/>
        </w:rPr>
        <w:t xml:space="preserve"> the negligence of a child is at issue, unless the child </w:t>
      </w:r>
      <w:r w:rsidR="00A528A4">
        <w:rPr>
          <w:rFonts w:ascii="Bookman Old Style" w:hAnsi="Bookman Old Style"/>
        </w:rPr>
        <w:t xml:space="preserve">is under seven years old, or the child </w:t>
      </w:r>
      <w:r>
        <w:rPr>
          <w:rFonts w:ascii="Bookman Old Style" w:hAnsi="Bookman Old Style"/>
        </w:rPr>
        <w:t xml:space="preserve">engaged in an activity which is normally undertaken by adults and for which adult qualifications are required. </w:t>
      </w:r>
      <w:r w:rsidR="00A528A4">
        <w:rPr>
          <w:rFonts w:ascii="Bookman Old Style" w:hAnsi="Bookman Old Style"/>
        </w:rPr>
        <w:t xml:space="preserve">If the child is under seven, </w:t>
      </w:r>
      <w:r w:rsidR="00DD4D2A">
        <w:rPr>
          <w:rFonts w:ascii="Bookman Old Style" w:hAnsi="Bookman Old Style"/>
        </w:rPr>
        <w:t>I</w:t>
      </w:r>
      <w:r w:rsidR="00A528A4">
        <w:rPr>
          <w:rFonts w:ascii="Bookman Old Style" w:hAnsi="Bookman Old Style"/>
        </w:rPr>
        <w:t>nstruction 3.03C</w:t>
      </w:r>
      <w:r w:rsidR="00DD4D2A">
        <w:rPr>
          <w:rFonts w:ascii="Bookman Old Style" w:hAnsi="Bookman Old Style"/>
        </w:rPr>
        <w:t xml:space="preserve"> (Negligence Defined-Capacity of Child under Seven)</w:t>
      </w:r>
      <w:r w:rsidR="00A528A4">
        <w:rPr>
          <w:rFonts w:ascii="Bookman Old Style" w:hAnsi="Bookman Old Style"/>
        </w:rPr>
        <w:t xml:space="preserve"> should be given </w:t>
      </w:r>
      <w:r w:rsidR="00551FF2">
        <w:rPr>
          <w:rFonts w:ascii="Bookman Old Style" w:hAnsi="Bookman Old Style"/>
        </w:rPr>
        <w:t xml:space="preserve">with 3.03A </w:t>
      </w:r>
      <w:r w:rsidR="00A528A4">
        <w:rPr>
          <w:rFonts w:ascii="Bookman Old Style" w:hAnsi="Bookman Old Style"/>
        </w:rPr>
        <w:t xml:space="preserve">instead of this instruction. </w:t>
      </w:r>
      <w:r w:rsidR="00DD4D2A">
        <w:rPr>
          <w:rFonts w:ascii="Bookman Old Style" w:hAnsi="Bookman Old Style"/>
        </w:rPr>
        <w:t xml:space="preserve"> </w:t>
      </w:r>
      <w:r w:rsidR="00A528A4">
        <w:rPr>
          <w:rFonts w:ascii="Bookman Old Style" w:hAnsi="Bookman Old Style"/>
        </w:rPr>
        <w:t>If the child was engaged in an adult activity</w:t>
      </w:r>
      <w:r>
        <w:rPr>
          <w:rFonts w:ascii="Bookman Old Style" w:hAnsi="Bookman Old Style"/>
        </w:rPr>
        <w:t xml:space="preserve">, </w:t>
      </w:r>
      <w:r w:rsidR="00A528A4">
        <w:rPr>
          <w:rFonts w:ascii="Bookman Old Style" w:hAnsi="Bookman Old Style"/>
        </w:rPr>
        <w:t>the</w:t>
      </w:r>
      <w:r>
        <w:rPr>
          <w:rFonts w:ascii="Bookman Old Style" w:hAnsi="Bookman Old Style"/>
        </w:rPr>
        <w:t xml:space="preserve"> adult standard of care applies, and </w:t>
      </w:r>
      <w:r w:rsidR="002B20F1">
        <w:rPr>
          <w:rFonts w:ascii="Bookman Old Style" w:hAnsi="Bookman Old Style"/>
        </w:rPr>
        <w:t xml:space="preserve">only </w:t>
      </w:r>
      <w:r w:rsidR="00DD4D2A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nstruction 3.03A </w:t>
      </w:r>
      <w:r w:rsidR="002B20F1">
        <w:rPr>
          <w:rFonts w:ascii="Bookman Old Style" w:hAnsi="Bookman Old Style"/>
        </w:rPr>
        <w:t>should be given.</w:t>
      </w:r>
      <w:r w:rsidR="007D4608">
        <w:rPr>
          <w:rFonts w:ascii="Bookman Old Style" w:hAnsi="Bookman Old Style"/>
        </w:rPr>
        <w:t xml:space="preserve"> </w:t>
      </w:r>
      <w:r w:rsidR="00003246">
        <w:rPr>
          <w:rFonts w:ascii="Bookman Old Style" w:hAnsi="Bookman Old Style"/>
        </w:rPr>
        <w:t>For claims of</w:t>
      </w:r>
      <w:r>
        <w:rPr>
          <w:rFonts w:ascii="Bookman Old Style" w:hAnsi="Bookman Old Style"/>
        </w:rPr>
        <w:t xml:space="preserve"> negligence per se, </w:t>
      </w:r>
      <w:r w:rsidR="00DD4D2A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nstruction 3.04A </w:t>
      </w:r>
      <w:r w:rsidR="00DD4D2A">
        <w:rPr>
          <w:rFonts w:ascii="Bookman Old Style" w:hAnsi="Bookman Old Style"/>
        </w:rPr>
        <w:t xml:space="preserve">(Violation of Statute-Negligence Per Se) </w:t>
      </w:r>
      <w:r>
        <w:rPr>
          <w:rFonts w:ascii="Bookman Old Style" w:hAnsi="Bookman Old Style"/>
        </w:rPr>
        <w:t xml:space="preserve">should </w:t>
      </w:r>
      <w:r w:rsidR="007D4608">
        <w:rPr>
          <w:rFonts w:ascii="Bookman Old Style" w:hAnsi="Bookman Old Style"/>
        </w:rPr>
        <w:t xml:space="preserve">be </w:t>
      </w:r>
      <w:r>
        <w:rPr>
          <w:rFonts w:ascii="Bookman Old Style" w:hAnsi="Bookman Old Style"/>
        </w:rPr>
        <w:t xml:space="preserve">given instead of this instruction. </w:t>
      </w:r>
    </w:p>
    <w:p w:rsidR="005072DE" w:rsidRDefault="005072DE" w:rsidP="00802D10">
      <w:pPr>
        <w:jc w:val="both"/>
        <w:rPr>
          <w:rFonts w:ascii="Bookman Old Style" w:hAnsi="Bookman Old Style"/>
        </w:rPr>
      </w:pPr>
    </w:p>
    <w:p w:rsidR="005072DE" w:rsidRPr="00DD4D2A" w:rsidRDefault="005072DE" w:rsidP="00802D10">
      <w:pPr>
        <w:pStyle w:val="Heading1"/>
        <w:rPr>
          <w:rFonts w:ascii="Bookman Old Style" w:hAnsi="Bookman Old Style"/>
        </w:rPr>
      </w:pPr>
      <w:r w:rsidRPr="00DD4D2A">
        <w:rPr>
          <w:rFonts w:ascii="Bookman Old Style" w:hAnsi="Bookman Old Style"/>
        </w:rPr>
        <w:t>Comment</w:t>
      </w:r>
    </w:p>
    <w:p w:rsidR="00C61B79" w:rsidRDefault="00C61B79" w:rsidP="00802D10">
      <w:pPr>
        <w:rPr>
          <w:rFonts w:ascii="Bookman Old Style" w:hAnsi="Bookman Old Style"/>
        </w:rPr>
      </w:pPr>
    </w:p>
    <w:p w:rsidR="00C61B79" w:rsidRPr="004F4F48" w:rsidRDefault="00C61B79" w:rsidP="00802D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jury is required to weigh the actions of persons charged with negligence against the standard of conduct of a reasonable person </w:t>
      </w:r>
      <w:r w:rsidR="00003246">
        <w:rPr>
          <w:rFonts w:ascii="Bookman Old Style" w:hAnsi="Bookman Old Style"/>
        </w:rPr>
        <w:t>under similar</w:t>
      </w:r>
      <w:r>
        <w:rPr>
          <w:rFonts w:ascii="Bookman Old Style" w:hAnsi="Bookman Old Style"/>
        </w:rPr>
        <w:t xml:space="preserve"> circumstances. </w:t>
      </w:r>
      <w:smartTag w:uri="urn:schemas-microsoft-com:office:smarttags" w:element="City">
        <w:smartTag w:uri="urn:schemas-microsoft-com:office:smarttags" w:element="place">
          <w:r w:rsidRPr="007D4608">
            <w:rPr>
              <w:rFonts w:ascii="Bookman Old Style" w:hAnsi="Bookman Old Style"/>
              <w:i/>
            </w:rPr>
            <w:t>Lyons</w:t>
          </w:r>
        </w:smartTag>
      </w:smartTag>
      <w:r w:rsidRPr="007D4608">
        <w:rPr>
          <w:rFonts w:ascii="Bookman Old Style" w:hAnsi="Bookman Old Style"/>
          <w:i/>
        </w:rPr>
        <w:t xml:space="preserve"> v. Midnight Sun Transp. Services, Inc.,</w:t>
      </w:r>
      <w:r>
        <w:rPr>
          <w:rFonts w:ascii="Bookman Old Style" w:hAnsi="Bookman Old Style"/>
        </w:rPr>
        <w:t xml:space="preserve"> 928 P.2d 1202, 1203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Alaska</w:t>
          </w:r>
        </w:smartTag>
      </w:smartTag>
      <w:r>
        <w:rPr>
          <w:rFonts w:ascii="Bookman Old Style" w:hAnsi="Bookman Old Style"/>
        </w:rPr>
        <w:t xml:space="preserve"> 1996). </w:t>
      </w:r>
    </w:p>
    <w:p w:rsidR="00C61B79" w:rsidRDefault="00C61B79" w:rsidP="00802D10">
      <w:pPr>
        <w:jc w:val="both"/>
        <w:rPr>
          <w:rFonts w:ascii="Bookman Old Style" w:hAnsi="Bookman Old Style"/>
        </w:rPr>
      </w:pPr>
    </w:p>
    <w:p w:rsidR="00312F6C" w:rsidRDefault="005072DE" w:rsidP="00802D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This instruction </w:t>
      </w:r>
      <w:r w:rsidR="00C61B79">
        <w:rPr>
          <w:rFonts w:ascii="Bookman Old Style" w:hAnsi="Bookman Old Style"/>
        </w:rPr>
        <w:t xml:space="preserve">modifies the standard of care </w:t>
      </w:r>
      <w:r>
        <w:rPr>
          <w:rFonts w:ascii="Bookman Old Style" w:hAnsi="Bookman Old Style"/>
        </w:rPr>
        <w:t xml:space="preserve">based on </w:t>
      </w:r>
      <w:smartTag w:uri="urn:schemas-microsoft-com:office:smarttags" w:element="State">
        <w:smartTag w:uri="urn:schemas-microsoft-com:office:smarttags" w:element="place">
          <w:r w:rsidR="00312F6C">
            <w:rPr>
              <w:rFonts w:ascii="Bookman Old Style" w:hAnsi="Bookman Old Style"/>
            </w:rPr>
            <w:t>Alaska</w:t>
          </w:r>
        </w:smartTag>
      </w:smartTag>
      <w:r w:rsidR="00312F6C">
        <w:rPr>
          <w:rFonts w:ascii="Bookman Old Style" w:hAnsi="Bookman Old Style"/>
        </w:rPr>
        <w:t xml:space="preserve"> decisions discussing reason</w:t>
      </w:r>
      <w:r w:rsidR="00570D1E">
        <w:rPr>
          <w:rFonts w:ascii="Bookman Old Style" w:hAnsi="Bookman Old Style"/>
        </w:rPr>
        <w:t>a</w:t>
      </w:r>
      <w:r w:rsidR="00312F6C">
        <w:rPr>
          <w:rFonts w:ascii="Bookman Old Style" w:hAnsi="Bookman Old Style"/>
        </w:rPr>
        <w:t xml:space="preserve">ble care </w:t>
      </w:r>
      <w:r w:rsidR="005A759C">
        <w:rPr>
          <w:rFonts w:ascii="Bookman Old Style" w:hAnsi="Bookman Old Style"/>
        </w:rPr>
        <w:t>as it applies</w:t>
      </w:r>
      <w:r w:rsidR="00312F6C">
        <w:rPr>
          <w:rFonts w:ascii="Bookman Old Style" w:hAnsi="Bookman Old Style"/>
        </w:rPr>
        <w:t xml:space="preserve"> to children. </w:t>
      </w:r>
      <w:r>
        <w:rPr>
          <w:rFonts w:ascii="Bookman Old Style" w:hAnsi="Bookman Old Style"/>
        </w:rPr>
        <w:t xml:space="preserve"> </w:t>
      </w:r>
      <w:r w:rsidR="00312F6C" w:rsidRPr="007D4608">
        <w:rPr>
          <w:rFonts w:ascii="Bookman Old Style" w:hAnsi="Bookman Old Style"/>
          <w:i/>
        </w:rPr>
        <w:t>Ardinger v. Hummell</w:t>
      </w:r>
      <w:r w:rsidR="00312F6C">
        <w:rPr>
          <w:rFonts w:ascii="Bookman Old Style" w:hAnsi="Bookman Old Style"/>
        </w:rPr>
        <w:t>, 982 P.2d 727, 731 (</w:t>
      </w:r>
      <w:smartTag w:uri="urn:schemas-microsoft-com:office:smarttags" w:element="State">
        <w:smartTag w:uri="urn:schemas-microsoft-com:office:smarttags" w:element="place">
          <w:r w:rsidR="00312F6C">
            <w:rPr>
              <w:rFonts w:ascii="Bookman Old Style" w:hAnsi="Bookman Old Style"/>
            </w:rPr>
            <w:t>Alaska</w:t>
          </w:r>
        </w:smartTag>
      </w:smartTag>
      <w:r w:rsidR="00312F6C">
        <w:rPr>
          <w:rFonts w:ascii="Bookman Old Style" w:hAnsi="Bookman Old Style"/>
        </w:rPr>
        <w:t xml:space="preserve"> 1999)(motor vehicle operated by child); </w:t>
      </w:r>
      <w:r w:rsidRPr="007D4608">
        <w:rPr>
          <w:rFonts w:ascii="Bookman Old Style" w:hAnsi="Bookman Old Style"/>
          <w:i/>
        </w:rPr>
        <w:t>Patterson v. Cushman,</w:t>
      </w:r>
      <w:r>
        <w:rPr>
          <w:rFonts w:ascii="Bookman Old Style" w:hAnsi="Bookman Old Style"/>
        </w:rPr>
        <w:t xml:space="preserve">  394 P.2d 657, 660 (</w:t>
      </w:r>
      <w:smartTag w:uri="urn:schemas-microsoft-com:office:smarttags" w:element="State">
        <w:smartTag w:uri="urn:schemas-microsoft-com:office:smarttags" w:element="place">
          <w:r>
            <w:rPr>
              <w:rFonts w:ascii="Bookman Old Style" w:hAnsi="Bookman Old Style"/>
            </w:rPr>
            <w:t>Alaska</w:t>
          </w:r>
        </w:smartTag>
      </w:smartTag>
      <w:r>
        <w:rPr>
          <w:rFonts w:ascii="Bookman Old Style" w:hAnsi="Bookman Old Style"/>
        </w:rPr>
        <w:t xml:space="preserve"> 1964)</w:t>
      </w:r>
      <w:r w:rsidR="00312F6C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defining ordinary care for a six-year-old child who was hit by a car</w:t>
      </w:r>
      <w:r w:rsidR="00312F6C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.  </w:t>
      </w:r>
      <w:r w:rsidR="00FE15BB" w:rsidRPr="006F337F">
        <w:rPr>
          <w:rFonts w:ascii="Bookman Old Style" w:hAnsi="Bookman Old Style"/>
          <w:i/>
          <w:iCs/>
        </w:rPr>
        <w:t>See</w:t>
      </w:r>
      <w:r w:rsidR="00FE15BB">
        <w:rPr>
          <w:rFonts w:ascii="Bookman Old Style" w:hAnsi="Bookman Old Style"/>
        </w:rPr>
        <w:t xml:space="preserve"> </w:t>
      </w:r>
      <w:r w:rsidR="00FE15BB" w:rsidRPr="007D4608">
        <w:rPr>
          <w:rFonts w:ascii="Bookman Old Style" w:hAnsi="Bookman Old Style"/>
          <w:i/>
        </w:rPr>
        <w:t>T.P.D. v. A.C.D.</w:t>
      </w:r>
      <w:r w:rsidR="007D4608">
        <w:rPr>
          <w:rFonts w:ascii="Bookman Old Style" w:hAnsi="Bookman Old Style"/>
        </w:rPr>
        <w:t xml:space="preserve">, 981 P.2d 116, </w:t>
      </w:r>
      <w:r w:rsidR="00FE15BB" w:rsidRPr="007D4608">
        <w:rPr>
          <w:rFonts w:ascii="Bookman Old Style" w:hAnsi="Bookman Old Style"/>
        </w:rPr>
        <w:t>120 n.14 (Alaska 1999).</w:t>
      </w:r>
    </w:p>
    <w:p w:rsidR="00551FF2" w:rsidRDefault="00551FF2" w:rsidP="00802D10">
      <w:pPr>
        <w:jc w:val="both"/>
        <w:rPr>
          <w:rFonts w:ascii="Bookman Old Style" w:hAnsi="Bookman Old Style"/>
        </w:rPr>
      </w:pPr>
    </w:p>
    <w:p w:rsidR="00312F6C" w:rsidRPr="00312F6C" w:rsidRDefault="005072DE" w:rsidP="00802D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 </w:t>
      </w:r>
      <w:r w:rsidRPr="007D4608">
        <w:rPr>
          <w:rFonts w:ascii="Bookman Old Style" w:hAnsi="Bookman Old Style"/>
          <w:i/>
        </w:rPr>
        <w:t>Ardinger</w:t>
      </w:r>
      <w:r w:rsidRPr="007D4608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the court explained the</w:t>
      </w:r>
      <w:r w:rsidR="00312F6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special standard of care for children as the public interest in the welf</w:t>
      </w:r>
      <w:r w:rsidR="007D4608">
        <w:rPr>
          <w:rFonts w:ascii="Bookman Old Style" w:hAnsi="Bookman Old Style"/>
        </w:rPr>
        <w:t xml:space="preserve">are and protection of children, </w:t>
      </w:r>
      <w:r>
        <w:rPr>
          <w:rFonts w:ascii="Bookman Old Style" w:hAnsi="Bookman Old Style"/>
        </w:rPr>
        <w:t xml:space="preserve">and the unfairness of holding children to an adult standard of care which most </w:t>
      </w:r>
      <w:r>
        <w:rPr>
          <w:rFonts w:ascii="Bookman Old Style" w:hAnsi="Bookman Old Style"/>
        </w:rPr>
        <w:lastRenderedPageBreak/>
        <w:t xml:space="preserve">could not meet.  </w:t>
      </w:r>
      <w:smartTag w:uri="urn:schemas-microsoft-com:office:smarttags" w:element="State">
        <w:smartTag w:uri="urn:schemas-microsoft-com:office:smarttags" w:element="place">
          <w:r w:rsidRPr="007D4608">
            <w:rPr>
              <w:rFonts w:ascii="Bookman Old Style" w:hAnsi="Bookman Old Style"/>
              <w:i/>
            </w:rPr>
            <w:t>Id</w:t>
          </w:r>
          <w:r>
            <w:rPr>
              <w:rFonts w:ascii="Bookman Old Style" w:hAnsi="Bookman Old Style"/>
            </w:rPr>
            <w:t>.</w:t>
          </w:r>
        </w:smartTag>
      </w:smartTag>
      <w:r>
        <w:rPr>
          <w:rFonts w:ascii="Bookman Old Style" w:hAnsi="Bookman Old Style"/>
        </w:rPr>
        <w:t xml:space="preserve">  </w:t>
      </w:r>
      <w:r w:rsidR="00312F6C">
        <w:rPr>
          <w:rFonts w:ascii="Bookman Old Style" w:hAnsi="Bookman Old Style"/>
        </w:rPr>
        <w:t xml:space="preserve">Instead, children should be subject to the standard of a reasonable child of the same age, intelligence, knowledge, and experience.  </w:t>
      </w:r>
      <w:smartTag w:uri="urn:schemas-microsoft-com:office:smarttags" w:element="State">
        <w:smartTag w:uri="urn:schemas-microsoft-com:office:smarttags" w:element="place">
          <w:r w:rsidR="00312F6C" w:rsidRPr="007D4608">
            <w:rPr>
              <w:rFonts w:ascii="Bookman Old Style" w:hAnsi="Bookman Old Style"/>
              <w:i/>
            </w:rPr>
            <w:t>Id.</w:t>
          </w:r>
        </w:smartTag>
      </w:smartTag>
      <w:r w:rsidR="00312F6C">
        <w:rPr>
          <w:rFonts w:ascii="Bookman Old Style" w:hAnsi="Bookman Old Style"/>
        </w:rPr>
        <w:t xml:space="preserve">   </w:t>
      </w:r>
    </w:p>
    <w:p w:rsidR="00312F6C" w:rsidRDefault="00312F6C" w:rsidP="00802D10">
      <w:pPr>
        <w:jc w:val="both"/>
        <w:rPr>
          <w:rFonts w:ascii="Bookman Old Style" w:hAnsi="Bookman Old Style"/>
        </w:rPr>
      </w:pPr>
    </w:p>
    <w:p w:rsidR="00312F6C" w:rsidRDefault="005072DE" w:rsidP="00802D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The </w:t>
      </w:r>
      <w:r w:rsidR="00312F6C">
        <w:rPr>
          <w:rFonts w:ascii="Bookman Old Style" w:hAnsi="Bookman Old Style"/>
        </w:rPr>
        <w:t xml:space="preserve">adult standard </w:t>
      </w:r>
      <w:r w:rsidR="004C51D2">
        <w:rPr>
          <w:rFonts w:ascii="Bookman Old Style" w:hAnsi="Bookman Old Style"/>
        </w:rPr>
        <w:t xml:space="preserve">care </w:t>
      </w:r>
      <w:r w:rsidR="00312F6C">
        <w:rPr>
          <w:rFonts w:ascii="Bookman Old Style" w:hAnsi="Bookman Old Style"/>
        </w:rPr>
        <w:t xml:space="preserve">nevertheless applies to children who </w:t>
      </w:r>
      <w:r>
        <w:rPr>
          <w:rFonts w:ascii="Bookman Old Style" w:hAnsi="Bookman Old Style"/>
        </w:rPr>
        <w:t xml:space="preserve">engage in “an activity which is normally undertaken by adults, and for which adult qualifications are required.” </w:t>
      </w:r>
      <w:smartTag w:uri="urn:schemas-microsoft-com:office:smarttags" w:element="State">
        <w:smartTag w:uri="urn:schemas-microsoft-com:office:smarttags" w:element="place">
          <w:r w:rsidRPr="007D4608">
            <w:rPr>
              <w:rFonts w:ascii="Bookman Old Style" w:hAnsi="Bookman Old Style"/>
              <w:i/>
            </w:rPr>
            <w:t>Id.</w:t>
          </w:r>
        </w:smartTag>
      </w:smartTag>
      <w:r>
        <w:rPr>
          <w:rFonts w:ascii="Bookman Old Style" w:hAnsi="Bookman Old Style"/>
        </w:rPr>
        <w:t xml:space="preserve"> at 731. </w:t>
      </w:r>
      <w:r w:rsidR="00DD4D2A">
        <w:rPr>
          <w:rFonts w:ascii="Bookman Old Style" w:hAnsi="Bookman Old Style"/>
        </w:rPr>
        <w:t xml:space="preserve"> </w:t>
      </w:r>
      <w:r w:rsidR="00312F6C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fourteen-year-old girl who allegedly lent her mother’s car to a fifteen-year-old friend w</w:t>
      </w:r>
      <w:r w:rsidR="00312F6C">
        <w:rPr>
          <w:rFonts w:ascii="Bookman Old Style" w:hAnsi="Bookman Old Style"/>
        </w:rPr>
        <w:t>as</w:t>
      </w:r>
      <w:r>
        <w:rPr>
          <w:rFonts w:ascii="Bookman Old Style" w:hAnsi="Bookman Old Style"/>
        </w:rPr>
        <w:t xml:space="preserve"> held to an adult standard of care.  </w:t>
      </w:r>
      <w:smartTag w:uri="urn:schemas-microsoft-com:office:smarttags" w:element="State">
        <w:smartTag w:uri="urn:schemas-microsoft-com:office:smarttags" w:element="place">
          <w:r w:rsidRPr="007D4608">
            <w:rPr>
              <w:rFonts w:ascii="Bookman Old Style" w:hAnsi="Bookman Old Style"/>
              <w:i/>
            </w:rPr>
            <w:t>Id</w:t>
          </w:r>
          <w:r>
            <w:rPr>
              <w:rFonts w:ascii="Bookman Old Style" w:hAnsi="Bookman Old Style"/>
            </w:rPr>
            <w:t>.</w:t>
          </w:r>
        </w:smartTag>
      </w:smartTag>
      <w:r>
        <w:rPr>
          <w:rFonts w:ascii="Bookman Old Style" w:hAnsi="Bookman Old Style"/>
        </w:rPr>
        <w:t xml:space="preserve">  </w:t>
      </w:r>
    </w:p>
    <w:p w:rsidR="00312F6C" w:rsidRDefault="00312F6C" w:rsidP="00802D10">
      <w:pPr>
        <w:jc w:val="both"/>
        <w:rPr>
          <w:rFonts w:ascii="Bookman Old Style" w:hAnsi="Bookman Old Style"/>
        </w:rPr>
      </w:pPr>
    </w:p>
    <w:p w:rsidR="005072DE" w:rsidRDefault="00312F6C" w:rsidP="00802D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</w:t>
      </w:r>
      <w:r w:rsidR="005072DE">
        <w:rPr>
          <w:rFonts w:ascii="Bookman Old Style" w:hAnsi="Bookman Old Style"/>
        </w:rPr>
        <w:t xml:space="preserve">egligence per se may </w:t>
      </w:r>
      <w:r>
        <w:rPr>
          <w:rFonts w:ascii="Bookman Old Style" w:hAnsi="Bookman Old Style"/>
        </w:rPr>
        <w:t xml:space="preserve">also </w:t>
      </w:r>
      <w:r w:rsidR="005072DE">
        <w:rPr>
          <w:rFonts w:ascii="Bookman Old Style" w:hAnsi="Bookman Old Style"/>
        </w:rPr>
        <w:t>appl</w:t>
      </w:r>
      <w:r>
        <w:rPr>
          <w:rFonts w:ascii="Bookman Old Style" w:hAnsi="Bookman Old Style"/>
        </w:rPr>
        <w:t xml:space="preserve">y </w:t>
      </w:r>
      <w:r w:rsidR="005072DE">
        <w:rPr>
          <w:rFonts w:ascii="Bookman Old Style" w:hAnsi="Bookman Old Style"/>
        </w:rPr>
        <w:t xml:space="preserve">to a child who is held to an adult standard of care.  </w:t>
      </w:r>
      <w:smartTag w:uri="urn:schemas-microsoft-com:office:smarttags" w:element="State">
        <w:smartTag w:uri="urn:schemas-microsoft-com:office:smarttags" w:element="place">
          <w:r w:rsidR="005072DE" w:rsidRPr="007D4608">
            <w:rPr>
              <w:rFonts w:ascii="Bookman Old Style" w:hAnsi="Bookman Old Style"/>
              <w:i/>
            </w:rPr>
            <w:t>Id</w:t>
          </w:r>
          <w:r w:rsidR="005072DE">
            <w:rPr>
              <w:rFonts w:ascii="Bookman Old Style" w:hAnsi="Bookman Old Style"/>
            </w:rPr>
            <w:t>.</w:t>
          </w:r>
        </w:smartTag>
      </w:smartTag>
      <w:r w:rsidR="005072DE">
        <w:rPr>
          <w:rFonts w:ascii="Bookman Old Style" w:hAnsi="Bookman Old Style"/>
        </w:rPr>
        <w:t xml:space="preserve"> at 734. </w:t>
      </w:r>
    </w:p>
    <w:p w:rsidR="00312F6C" w:rsidRDefault="00312F6C" w:rsidP="00802D10">
      <w:pPr>
        <w:jc w:val="both"/>
        <w:rPr>
          <w:rFonts w:ascii="Bookman Old Style" w:hAnsi="Bookman Old Style"/>
        </w:rPr>
      </w:pPr>
    </w:p>
    <w:p w:rsidR="00312F6C" w:rsidRDefault="00312F6C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jc w:val="both"/>
        <w:rPr>
          <w:rFonts w:ascii="Bookman Old Style" w:hAnsi="Bookman Old Style"/>
        </w:rPr>
      </w:pPr>
    </w:p>
    <w:p w:rsidR="005072DE" w:rsidRDefault="005072DE" w:rsidP="00DD4D2A">
      <w:pPr>
        <w:rPr>
          <w:rFonts w:ascii="Bookman Old Style" w:hAnsi="Bookman Old Style"/>
        </w:rPr>
      </w:pPr>
    </w:p>
    <w:p w:rsidR="005072DE" w:rsidRDefault="005072DE">
      <w:pPr>
        <w:rPr>
          <w:rFonts w:ascii="Bookman Old Style" w:hAnsi="Bookman Old Style"/>
        </w:rPr>
      </w:pPr>
    </w:p>
    <w:sectPr w:rsidR="005072DE" w:rsidSect="00DD4D2A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CF" w:rsidRDefault="004341CF">
      <w:r>
        <w:separator/>
      </w:r>
    </w:p>
  </w:endnote>
  <w:endnote w:type="continuationSeparator" w:id="0">
    <w:p w:rsidR="004341CF" w:rsidRDefault="0043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22" w:rsidRPr="00523A11" w:rsidRDefault="00265C7F" w:rsidP="00C93BC6">
    <w:pPr>
      <w:pStyle w:val="Footer"/>
      <w:tabs>
        <w:tab w:val="clear" w:pos="8640"/>
        <w:tab w:val="right" w:pos="9360"/>
      </w:tabs>
      <w:rPr>
        <w:rFonts w:ascii="Bookman Old Style" w:hAnsi="Bookman Old Style"/>
        <w:smallCaps/>
        <w:sz w:val="24"/>
        <w:szCs w:val="24"/>
      </w:rPr>
    </w:pPr>
    <w:r>
      <w:rPr>
        <w:rFonts w:ascii="Bookman Old Style" w:hAnsi="Bookman Old Style"/>
        <w:sz w:val="24"/>
        <w:szCs w:val="24"/>
      </w:rPr>
      <w:t>2008</w:t>
    </w:r>
    <w:r w:rsidR="00756622">
      <w:rPr>
        <w:rFonts w:ascii="Bookman Old Style" w:hAnsi="Bookman Old Style"/>
        <w:sz w:val="24"/>
        <w:szCs w:val="24"/>
      </w:rPr>
      <w:tab/>
    </w:r>
    <w:r w:rsidR="00756622">
      <w:rPr>
        <w:rFonts w:ascii="Bookman Old Style" w:hAnsi="Bookman Old Style"/>
        <w:sz w:val="24"/>
        <w:szCs w:val="24"/>
      </w:rPr>
      <w:tab/>
      <w:t>03.03B</w:t>
    </w:r>
    <w:r w:rsidR="00756622" w:rsidRPr="00523A11">
      <w:rPr>
        <w:rFonts w:ascii="Bookman Old Style" w:hAnsi="Bookman Old Style"/>
        <w:sz w:val="24"/>
        <w:szCs w:val="24"/>
      </w:rPr>
      <w:t xml:space="preserve"> - </w:t>
    </w:r>
    <w:r w:rsidR="00756622" w:rsidRPr="00523A11">
      <w:rPr>
        <w:rStyle w:val="PageNumber"/>
        <w:rFonts w:ascii="Bookman Old Style" w:hAnsi="Bookman Old Style"/>
        <w:sz w:val="24"/>
        <w:szCs w:val="24"/>
      </w:rPr>
      <w:fldChar w:fldCharType="begin"/>
    </w:r>
    <w:r w:rsidR="00756622" w:rsidRPr="00523A11">
      <w:rPr>
        <w:rStyle w:val="PageNumber"/>
        <w:rFonts w:ascii="Bookman Old Style" w:hAnsi="Bookman Old Style"/>
        <w:sz w:val="24"/>
        <w:szCs w:val="24"/>
      </w:rPr>
      <w:instrText xml:space="preserve"> PAGE </w:instrText>
    </w:r>
    <w:r w:rsidR="00756622" w:rsidRPr="00523A11">
      <w:rPr>
        <w:rStyle w:val="PageNumber"/>
        <w:rFonts w:ascii="Bookman Old Style" w:hAnsi="Bookman Old Style"/>
        <w:sz w:val="24"/>
        <w:szCs w:val="24"/>
      </w:rPr>
      <w:fldChar w:fldCharType="separate"/>
    </w:r>
    <w:r w:rsidR="00686116">
      <w:rPr>
        <w:rStyle w:val="PageNumber"/>
        <w:rFonts w:ascii="Bookman Old Style" w:hAnsi="Bookman Old Style"/>
        <w:noProof/>
        <w:sz w:val="24"/>
        <w:szCs w:val="24"/>
      </w:rPr>
      <w:t>1</w:t>
    </w:r>
    <w:r w:rsidR="00756622" w:rsidRPr="00523A11">
      <w:rPr>
        <w:rStyle w:val="PageNumber"/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CF" w:rsidRDefault="004341CF">
      <w:r>
        <w:separator/>
      </w:r>
    </w:p>
  </w:footnote>
  <w:footnote w:type="continuationSeparator" w:id="0">
    <w:p w:rsidR="004341CF" w:rsidRDefault="0043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11"/>
    <w:rsid w:val="00003246"/>
    <w:rsid w:val="000C0C86"/>
    <w:rsid w:val="00157A1A"/>
    <w:rsid w:val="0025051F"/>
    <w:rsid w:val="00265C7F"/>
    <w:rsid w:val="002B20F1"/>
    <w:rsid w:val="00312F6C"/>
    <w:rsid w:val="00335F46"/>
    <w:rsid w:val="00361F04"/>
    <w:rsid w:val="003A0D19"/>
    <w:rsid w:val="003D132D"/>
    <w:rsid w:val="003E1E80"/>
    <w:rsid w:val="004341CF"/>
    <w:rsid w:val="004C51D2"/>
    <w:rsid w:val="005072DE"/>
    <w:rsid w:val="00510FD7"/>
    <w:rsid w:val="00513706"/>
    <w:rsid w:val="00523A11"/>
    <w:rsid w:val="005325DD"/>
    <w:rsid w:val="00551FF2"/>
    <w:rsid w:val="00570D1E"/>
    <w:rsid w:val="005A759C"/>
    <w:rsid w:val="00686116"/>
    <w:rsid w:val="00687ECC"/>
    <w:rsid w:val="006F337F"/>
    <w:rsid w:val="00756109"/>
    <w:rsid w:val="00756622"/>
    <w:rsid w:val="007676EA"/>
    <w:rsid w:val="007D0141"/>
    <w:rsid w:val="007D42D1"/>
    <w:rsid w:val="007D4608"/>
    <w:rsid w:val="007F6F52"/>
    <w:rsid w:val="00802D10"/>
    <w:rsid w:val="00841B21"/>
    <w:rsid w:val="008503B0"/>
    <w:rsid w:val="008760BB"/>
    <w:rsid w:val="00900485"/>
    <w:rsid w:val="00921B79"/>
    <w:rsid w:val="00972030"/>
    <w:rsid w:val="00983A96"/>
    <w:rsid w:val="00A003FB"/>
    <w:rsid w:val="00A40398"/>
    <w:rsid w:val="00A528A4"/>
    <w:rsid w:val="00A71FCA"/>
    <w:rsid w:val="00A8067F"/>
    <w:rsid w:val="00B649DF"/>
    <w:rsid w:val="00C61B79"/>
    <w:rsid w:val="00C93BC6"/>
    <w:rsid w:val="00CD528B"/>
    <w:rsid w:val="00DD4D2A"/>
    <w:rsid w:val="00E809D2"/>
    <w:rsid w:val="00F4608B"/>
    <w:rsid w:val="00F80EBC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250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BalloonText">
    <w:name w:val="Balloon Text"/>
    <w:basedOn w:val="Normal"/>
    <w:semiHidden/>
    <w:rsid w:val="00250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State of Alaska - Dept of Law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Lesia Lefner l</dc:creator>
  <cp:keywords/>
  <cp:lastModifiedBy>Michael Merrington</cp:lastModifiedBy>
  <cp:revision>3</cp:revision>
  <cp:lastPrinted>2008-07-15T22:29:00Z</cp:lastPrinted>
  <dcterms:created xsi:type="dcterms:W3CDTF">2017-04-04T18:47:00Z</dcterms:created>
  <dcterms:modified xsi:type="dcterms:W3CDTF">2017-04-04T18:47:00Z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-1393801039</vt:i4>
  </property>
  <property fmtid="{D5CDD505-2E9C-101B-9397-08002B2CF9AE}" pid="3" name="_EmailSubject">
    <vt:lpwstr>Supplement 15</vt:lpwstr>
  </property>
  <property fmtid="{D5CDD505-2E9C-101B-9397-08002B2CF9AE}" pid="4" name="_AuthorEmail">
    <vt:lpwstr>jhoenack@courts.state.ak.us</vt:lpwstr>
  </property>
  <property fmtid="{D5CDD505-2E9C-101B-9397-08002B2CF9AE}" pid="5" name="_AuthorEmailDisplayName">
    <vt:lpwstr>Jennie Marshall-Hoenack</vt:lpwstr>
  </property>
  <property fmtid="{D5CDD505-2E9C-101B-9397-08002B2CF9AE}" pid="6" name="_ReviewingToolsShownOnce">
    <vt:lpwstr/>
  </property>
</Properties>
</file>