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503" w:rsidRPr="00950439" w:rsidRDefault="00F23302" w:rsidP="00800BB2">
      <w:pPr>
        <w:pStyle w:val="Header"/>
        <w:tabs>
          <w:tab w:val="clear" w:pos="4320"/>
          <w:tab w:val="clear" w:pos="8640"/>
          <w:tab w:val="left" w:pos="1440"/>
        </w:tabs>
        <w:ind w:left="1440" w:hanging="1440"/>
        <w:rPr>
          <w:rFonts w:ascii="Bookman Old Style" w:hAnsi="Bookman Old Style"/>
          <w:b/>
          <w:bCs/>
        </w:rPr>
      </w:pPr>
      <w:bookmarkStart w:id="0" w:name="_GoBack"/>
      <w:bookmarkEnd w:id="0"/>
      <w:r w:rsidRPr="00950439">
        <w:rPr>
          <w:rFonts w:ascii="Bookman Old Style" w:hAnsi="Bookman Old Style"/>
          <w:b/>
          <w:bCs/>
        </w:rPr>
        <w:t>3.03C</w:t>
      </w:r>
      <w:r w:rsidRPr="00950439">
        <w:rPr>
          <w:rFonts w:ascii="Bookman Old Style" w:hAnsi="Bookman Old Style"/>
          <w:b/>
          <w:bCs/>
        </w:rPr>
        <w:tab/>
      </w:r>
      <w:r w:rsidR="00240503" w:rsidRPr="00950439">
        <w:rPr>
          <w:rFonts w:ascii="Bookman Old Style" w:hAnsi="Bookman Old Style"/>
          <w:b/>
          <w:bCs/>
        </w:rPr>
        <w:t xml:space="preserve">NEGLIGENCE </w:t>
      </w:r>
      <w:r w:rsidRPr="00950439">
        <w:rPr>
          <w:rFonts w:ascii="Bookman Old Style" w:hAnsi="Bookman Old Style"/>
          <w:b/>
          <w:bCs/>
        </w:rPr>
        <w:t xml:space="preserve">DEFINED </w:t>
      </w:r>
      <w:r w:rsidR="00240503" w:rsidRPr="00950439">
        <w:rPr>
          <w:rFonts w:ascii="Bookman Old Style" w:hAnsi="Bookman Old Style"/>
          <w:b/>
          <w:bCs/>
        </w:rPr>
        <w:t>– CAPACITY OF CHILD UNDER SEVEN</w:t>
      </w:r>
    </w:p>
    <w:p w:rsidR="00240503" w:rsidRDefault="00240503" w:rsidP="00950439">
      <w:pPr>
        <w:spacing w:line="360" w:lineRule="auto"/>
        <w:rPr>
          <w:rFonts w:ascii="Bookman Old Style" w:hAnsi="Bookman Old Style"/>
        </w:rPr>
      </w:pPr>
    </w:p>
    <w:p w:rsidR="00240503" w:rsidRDefault="00424059" w:rsidP="0095043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[Plaintiff] [Defendant] was ___ years old at the time of the incident. </w:t>
      </w:r>
      <w:r w:rsidR="00240503">
        <w:rPr>
          <w:rFonts w:ascii="Bookman Old Style" w:hAnsi="Bookman Old Style"/>
        </w:rPr>
        <w:t xml:space="preserve">The law </w:t>
      </w:r>
      <w:r w:rsidR="004624BC">
        <w:rPr>
          <w:rFonts w:ascii="Bookman Old Style" w:hAnsi="Bookman Old Style"/>
        </w:rPr>
        <w:t>assumes</w:t>
      </w:r>
      <w:r w:rsidR="00240503">
        <w:rPr>
          <w:rFonts w:ascii="Bookman Old Style" w:hAnsi="Bookman Old Style"/>
        </w:rPr>
        <w:t xml:space="preserve"> that a child </w:t>
      </w:r>
      <w:r w:rsidR="002C6943">
        <w:rPr>
          <w:rFonts w:ascii="Bookman Old Style" w:hAnsi="Bookman Old Style"/>
        </w:rPr>
        <w:t xml:space="preserve">less than </w:t>
      </w:r>
      <w:r w:rsidR="00240503">
        <w:rPr>
          <w:rFonts w:ascii="Bookman Old Style" w:hAnsi="Bookman Old Style"/>
        </w:rPr>
        <w:t xml:space="preserve">seven years </w:t>
      </w:r>
      <w:r w:rsidR="002C6943">
        <w:rPr>
          <w:rFonts w:ascii="Bookman Old Style" w:hAnsi="Bookman Old Style"/>
        </w:rPr>
        <w:t xml:space="preserve">of age </w:t>
      </w:r>
      <w:r w:rsidR="00DE3654">
        <w:rPr>
          <w:rFonts w:ascii="Bookman Old Style" w:hAnsi="Bookman Old Style"/>
        </w:rPr>
        <w:t xml:space="preserve">is incapable of negligence. </w:t>
      </w:r>
      <w:r>
        <w:rPr>
          <w:rFonts w:ascii="Bookman Old Style" w:hAnsi="Bookman Old Style"/>
        </w:rPr>
        <w:t xml:space="preserve">But </w:t>
      </w:r>
      <w:r w:rsidR="00240503">
        <w:rPr>
          <w:rFonts w:ascii="Bookman Old Style" w:hAnsi="Bookman Old Style"/>
        </w:rPr>
        <w:t>if you decide that the child was capable of understanding the danger and exercising some degree of care</w:t>
      </w:r>
      <w:r>
        <w:rPr>
          <w:rFonts w:ascii="Bookman Old Style" w:hAnsi="Bookman Old Style"/>
        </w:rPr>
        <w:t>,</w:t>
      </w:r>
      <w:r w:rsidRPr="00424059">
        <w:rPr>
          <w:rFonts w:ascii="Bookman Old Style" w:hAnsi="Bookman Old Style"/>
        </w:rPr>
        <w:t xml:space="preserve"> </w:t>
      </w:r>
      <w:r w:rsidR="004624BC">
        <w:rPr>
          <w:rFonts w:ascii="Bookman Old Style" w:hAnsi="Bookman Old Style"/>
        </w:rPr>
        <w:t>this rule</w:t>
      </w:r>
      <w:r>
        <w:rPr>
          <w:rFonts w:ascii="Bookman Old Style" w:hAnsi="Bookman Old Style"/>
        </w:rPr>
        <w:t xml:space="preserve"> does not apply</w:t>
      </w:r>
      <w:r w:rsidR="00240503">
        <w:rPr>
          <w:rFonts w:ascii="Bookman Old Style" w:hAnsi="Bookman Old Style"/>
        </w:rPr>
        <w:t xml:space="preserve">. In making this decision, you </w:t>
      </w:r>
      <w:r w:rsidRPr="00FB6105">
        <w:rPr>
          <w:rFonts w:ascii="Bookman Old Style" w:hAnsi="Bookman Old Style"/>
        </w:rPr>
        <w:t>should</w:t>
      </w:r>
      <w:r>
        <w:rPr>
          <w:rFonts w:ascii="Bookman Old Style" w:hAnsi="Bookman Old Style"/>
        </w:rPr>
        <w:t xml:space="preserve"> </w:t>
      </w:r>
      <w:r w:rsidR="00240503">
        <w:rPr>
          <w:rFonts w:ascii="Bookman Old Style" w:hAnsi="Bookman Old Style"/>
        </w:rPr>
        <w:t xml:space="preserve">consider the child’s age, judgment, knowledge, experience, and psychological development.  </w:t>
      </w:r>
    </w:p>
    <w:p w:rsidR="00240503" w:rsidRDefault="00240503" w:rsidP="00950439">
      <w:pPr>
        <w:spacing w:line="360" w:lineRule="auto"/>
        <w:jc w:val="both"/>
        <w:rPr>
          <w:rFonts w:ascii="Bookman Old Style" w:hAnsi="Bookman Old Style"/>
        </w:rPr>
      </w:pPr>
    </w:p>
    <w:p w:rsidR="00240503" w:rsidRDefault="00240503" w:rsidP="00950439">
      <w:pPr>
        <w:pStyle w:val="BodyText2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If you find that the child was not capable of negligence, then you must find that the child was not at fault and you must [return a verdict for the defendant] [not allocate any percentage of the total fault to the child]. If you find that the child was capable of negligence, you must then decide whether the child was in fact negligent.</w:t>
      </w:r>
    </w:p>
    <w:p w:rsidR="00950439" w:rsidRDefault="00950439" w:rsidP="00950439">
      <w:pPr>
        <w:pStyle w:val="Heading1"/>
        <w:spacing w:line="240" w:lineRule="auto"/>
        <w:rPr>
          <w:b w:val="0"/>
          <w:u w:val="single"/>
        </w:rPr>
      </w:pPr>
    </w:p>
    <w:p w:rsidR="00240503" w:rsidRDefault="002F1A9B" w:rsidP="00950439">
      <w:pPr>
        <w:pStyle w:val="Heading1"/>
        <w:spacing w:line="240" w:lineRule="auto"/>
        <w:rPr>
          <w:b w:val="0"/>
          <w:caps w:val="0"/>
          <w:u w:val="single"/>
        </w:rPr>
      </w:pPr>
      <w:r>
        <w:rPr>
          <w:b w:val="0"/>
          <w:caps w:val="0"/>
          <w:u w:val="single"/>
        </w:rPr>
        <w:t>Direction</w:t>
      </w:r>
      <w:r w:rsidR="00800BB2">
        <w:rPr>
          <w:b w:val="0"/>
          <w:caps w:val="0"/>
          <w:u w:val="single"/>
        </w:rPr>
        <w:t>s</w:t>
      </w:r>
      <w:r w:rsidR="00950439">
        <w:rPr>
          <w:b w:val="0"/>
          <w:caps w:val="0"/>
          <w:u w:val="single"/>
        </w:rPr>
        <w:t xml:space="preserve"> for Use</w:t>
      </w:r>
    </w:p>
    <w:p w:rsidR="00950439" w:rsidRPr="00950439" w:rsidRDefault="00950439" w:rsidP="00950439"/>
    <w:p w:rsidR="00240503" w:rsidRDefault="00240503" w:rsidP="00950439">
      <w:pPr>
        <w:pStyle w:val="BodyText2"/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This instruction should be used together with </w:t>
      </w:r>
      <w:r w:rsidR="00950439">
        <w:rPr>
          <w:rFonts w:ascii="Bookman Old Style" w:hAnsi="Bookman Old Style"/>
        </w:rPr>
        <w:t xml:space="preserve">Instruction </w:t>
      </w:r>
      <w:r>
        <w:rPr>
          <w:rFonts w:ascii="Bookman Old Style" w:hAnsi="Bookman Old Style"/>
        </w:rPr>
        <w:t>3.03</w:t>
      </w:r>
      <w:r w:rsidR="009E7F11">
        <w:rPr>
          <w:rFonts w:ascii="Bookman Old Style" w:hAnsi="Bookman Old Style"/>
        </w:rPr>
        <w:t>A</w:t>
      </w:r>
      <w:r w:rsidR="00950439">
        <w:rPr>
          <w:rFonts w:ascii="Bookman Old Style" w:hAnsi="Bookman Old Style"/>
        </w:rPr>
        <w:t xml:space="preserve"> (Negligence Defined-Adult)</w:t>
      </w:r>
      <w:r>
        <w:rPr>
          <w:rFonts w:ascii="Bookman Old Style" w:hAnsi="Bookman Old Style"/>
        </w:rPr>
        <w:t xml:space="preserve"> when a child under seven years old is alleged to be negligent, unless the court has determined the child’s capacity as a matter of law.</w:t>
      </w:r>
    </w:p>
    <w:p w:rsidR="00240503" w:rsidRDefault="00240503" w:rsidP="00950439">
      <w:pPr>
        <w:pStyle w:val="BodyText2"/>
        <w:spacing w:line="240" w:lineRule="auto"/>
        <w:rPr>
          <w:rFonts w:ascii="Bookman Old Style" w:hAnsi="Bookman Old Style"/>
          <w:u w:val="single"/>
        </w:rPr>
      </w:pPr>
    </w:p>
    <w:p w:rsidR="00240503" w:rsidRDefault="00240503" w:rsidP="00950439">
      <w:pPr>
        <w:pStyle w:val="Heading1"/>
        <w:spacing w:line="240" w:lineRule="auto"/>
        <w:rPr>
          <w:b w:val="0"/>
          <w:caps w:val="0"/>
          <w:u w:val="single"/>
        </w:rPr>
      </w:pPr>
      <w:r w:rsidRPr="00950439">
        <w:rPr>
          <w:b w:val="0"/>
          <w:caps w:val="0"/>
          <w:u w:val="single"/>
        </w:rPr>
        <w:t>Comment</w:t>
      </w:r>
    </w:p>
    <w:p w:rsidR="00950439" w:rsidRPr="00950439" w:rsidRDefault="00950439" w:rsidP="00950439"/>
    <w:p w:rsidR="00240503" w:rsidRDefault="00022A3A" w:rsidP="0095043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</w:t>
      </w:r>
      <w:r w:rsidR="00240503">
        <w:rPr>
          <w:rFonts w:ascii="Bookman Old Style" w:hAnsi="Bookman Old Style"/>
        </w:rPr>
        <w:t xml:space="preserve"> child under seven years old is </w:t>
      </w:r>
      <w:r>
        <w:rPr>
          <w:rFonts w:ascii="Bookman Old Style" w:hAnsi="Bookman Old Style"/>
        </w:rPr>
        <w:t xml:space="preserve">presumed to be </w:t>
      </w:r>
      <w:r w:rsidR="00240503">
        <w:rPr>
          <w:rFonts w:ascii="Bookman Old Style" w:hAnsi="Bookman Old Style"/>
        </w:rPr>
        <w:t>incapable of negligence.</w:t>
      </w:r>
      <w:r w:rsidR="00DE3654">
        <w:rPr>
          <w:rFonts w:ascii="Bookman Old Style" w:hAnsi="Bookman Old Style"/>
        </w:rPr>
        <w:t xml:space="preserve"> </w:t>
      </w:r>
      <w:r w:rsidRPr="00DE3654">
        <w:rPr>
          <w:rFonts w:ascii="Bookman Old Style" w:hAnsi="Bookman Old Style"/>
          <w:i/>
        </w:rPr>
        <w:t>Patterson v. Cushman</w:t>
      </w:r>
      <w:r w:rsidR="00DE3654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394 P.2d 657, 660 (</w:t>
      </w:r>
      <w:smartTag w:uri="urn:schemas-microsoft-com:office:smarttags" w:element="State">
        <w:smartTag w:uri="urn:schemas-microsoft-com:office:smarttags" w:element="place">
          <w:r>
            <w:rPr>
              <w:rFonts w:ascii="Bookman Old Style" w:hAnsi="Bookman Old Style"/>
            </w:rPr>
            <w:t>Alaska</w:t>
          </w:r>
        </w:smartTag>
      </w:smartTag>
      <w:r>
        <w:rPr>
          <w:rFonts w:ascii="Bookman Old Style" w:hAnsi="Bookman Old Style"/>
        </w:rPr>
        <w:t xml:space="preserve"> 1964)</w:t>
      </w:r>
      <w:r w:rsidR="00240503">
        <w:rPr>
          <w:rFonts w:ascii="Bookman Old Style" w:hAnsi="Bookman Old Style"/>
        </w:rPr>
        <w:t xml:space="preserve">.  </w:t>
      </w:r>
      <w:r w:rsidR="00495548">
        <w:rPr>
          <w:rFonts w:ascii="Bookman Old Style" w:hAnsi="Bookman Old Style"/>
        </w:rPr>
        <w:t xml:space="preserve">The </w:t>
      </w:r>
      <w:r w:rsidR="004A27E4">
        <w:rPr>
          <w:rFonts w:ascii="Bookman Old Style" w:hAnsi="Bookman Old Style"/>
        </w:rPr>
        <w:t>pre</w:t>
      </w:r>
      <w:r>
        <w:rPr>
          <w:rFonts w:ascii="Bookman Old Style" w:hAnsi="Bookman Old Style"/>
        </w:rPr>
        <w:t>s</w:t>
      </w:r>
      <w:r w:rsidR="004A27E4">
        <w:rPr>
          <w:rFonts w:ascii="Bookman Old Style" w:hAnsi="Bookman Old Style"/>
        </w:rPr>
        <w:t xml:space="preserve">umption is rebutted if the child </w:t>
      </w:r>
      <w:r w:rsidR="00495548">
        <w:rPr>
          <w:rFonts w:ascii="Bookman Old Style" w:hAnsi="Bookman Old Style"/>
        </w:rPr>
        <w:t xml:space="preserve">had the capacity to understand the danger and </w:t>
      </w:r>
      <w:r>
        <w:rPr>
          <w:rFonts w:ascii="Bookman Old Style" w:hAnsi="Bookman Old Style"/>
        </w:rPr>
        <w:t xml:space="preserve">to </w:t>
      </w:r>
      <w:r w:rsidR="00495548">
        <w:rPr>
          <w:rFonts w:ascii="Bookman Old Style" w:hAnsi="Bookman Old Style"/>
        </w:rPr>
        <w:t>exercise some degree of care</w:t>
      </w:r>
      <w:r w:rsidR="004A27E4">
        <w:rPr>
          <w:rFonts w:ascii="Bookman Old Style" w:hAnsi="Bookman Old Style"/>
        </w:rPr>
        <w:t>.</w:t>
      </w:r>
      <w:r w:rsidR="00240503">
        <w:rPr>
          <w:rFonts w:ascii="Bookman Old Style" w:hAnsi="Bookman Old Style"/>
        </w:rPr>
        <w:t xml:space="preserve"> </w:t>
      </w:r>
      <w:smartTag w:uri="urn:schemas-microsoft-com:office:smarttags" w:element="State">
        <w:smartTag w:uri="urn:schemas-microsoft-com:office:smarttags" w:element="place">
          <w:r w:rsidR="00240503" w:rsidRPr="00DE3654">
            <w:rPr>
              <w:rFonts w:ascii="Bookman Old Style" w:hAnsi="Bookman Old Style"/>
              <w:i/>
            </w:rPr>
            <w:t>Id</w:t>
          </w:r>
          <w:r w:rsidR="00240503">
            <w:rPr>
              <w:rFonts w:ascii="Bookman Old Style" w:hAnsi="Bookman Old Style"/>
            </w:rPr>
            <w:t>.</w:t>
          </w:r>
        </w:smartTag>
      </w:smartTag>
      <w:r w:rsidR="00240503">
        <w:rPr>
          <w:rFonts w:ascii="Bookman Old Style" w:hAnsi="Bookman Old Style"/>
        </w:rPr>
        <w:t xml:space="preserve">  </w:t>
      </w:r>
      <w:r w:rsidR="00495548">
        <w:rPr>
          <w:rFonts w:ascii="Bookman Old Style" w:hAnsi="Bookman Old Style"/>
        </w:rPr>
        <w:t>C</w:t>
      </w:r>
      <w:r w:rsidR="00240503">
        <w:rPr>
          <w:rFonts w:ascii="Bookman Old Style" w:hAnsi="Bookman Old Style"/>
        </w:rPr>
        <w:t xml:space="preserve">apacity is </w:t>
      </w:r>
      <w:r w:rsidR="00495548">
        <w:rPr>
          <w:rFonts w:ascii="Bookman Old Style" w:hAnsi="Bookman Old Style"/>
        </w:rPr>
        <w:t xml:space="preserve">a </w:t>
      </w:r>
      <w:r w:rsidR="00240503">
        <w:rPr>
          <w:rFonts w:ascii="Bookman Old Style" w:hAnsi="Bookman Old Style"/>
        </w:rPr>
        <w:t xml:space="preserve">jury </w:t>
      </w:r>
      <w:r w:rsidR="00495548">
        <w:rPr>
          <w:rFonts w:ascii="Bookman Old Style" w:hAnsi="Bookman Old Style"/>
        </w:rPr>
        <w:t xml:space="preserve">question </w:t>
      </w:r>
      <w:r w:rsidR="00240503">
        <w:rPr>
          <w:rFonts w:ascii="Bookman Old Style" w:hAnsi="Bookman Old Style"/>
        </w:rPr>
        <w:t xml:space="preserve">unless fair-minded persons in the exercise of reasonable judgment could not differ on the inferences to be drawn from the evidence.  </w:t>
      </w:r>
      <w:smartTag w:uri="urn:schemas-microsoft-com:office:smarttags" w:element="State">
        <w:smartTag w:uri="urn:schemas-microsoft-com:office:smarttags" w:element="place">
          <w:r w:rsidR="00240503" w:rsidRPr="00DE3654">
            <w:rPr>
              <w:rFonts w:ascii="Bookman Old Style" w:hAnsi="Bookman Old Style"/>
              <w:i/>
            </w:rPr>
            <w:t>Id</w:t>
          </w:r>
          <w:r w:rsidR="00240503">
            <w:rPr>
              <w:rFonts w:ascii="Bookman Old Style" w:hAnsi="Bookman Old Style"/>
            </w:rPr>
            <w:t>.</w:t>
          </w:r>
        </w:smartTag>
      </w:smartTag>
      <w:r w:rsidR="00240503">
        <w:rPr>
          <w:rFonts w:ascii="Bookman Old Style" w:hAnsi="Bookman Old Style"/>
        </w:rPr>
        <w:t xml:space="preserve">  </w:t>
      </w:r>
      <w:r w:rsidR="00495548" w:rsidRPr="00DE3654">
        <w:rPr>
          <w:rFonts w:ascii="Bookman Old Style" w:hAnsi="Bookman Old Style"/>
          <w:i/>
        </w:rPr>
        <w:t>Patterson</w:t>
      </w:r>
      <w:r w:rsidRPr="00DE3654">
        <w:rPr>
          <w:rFonts w:ascii="Bookman Old Style" w:hAnsi="Bookman Old Style"/>
        </w:rPr>
        <w:t xml:space="preserve"> held </w:t>
      </w:r>
      <w:r w:rsidR="00240503">
        <w:rPr>
          <w:rFonts w:ascii="Bookman Old Style" w:hAnsi="Bookman Old Style"/>
        </w:rPr>
        <w:t xml:space="preserve">that a six-year-old </w:t>
      </w:r>
      <w:r w:rsidR="00FB6105">
        <w:rPr>
          <w:rFonts w:ascii="Bookman Old Style" w:hAnsi="Bookman Old Style"/>
        </w:rPr>
        <w:t xml:space="preserve">who was </w:t>
      </w:r>
      <w:r w:rsidR="00495548">
        <w:rPr>
          <w:rFonts w:ascii="Bookman Old Style" w:hAnsi="Bookman Old Style"/>
        </w:rPr>
        <w:t xml:space="preserve">hit by a car </w:t>
      </w:r>
      <w:r w:rsidR="00240503">
        <w:rPr>
          <w:rFonts w:ascii="Bookman Old Style" w:hAnsi="Bookman Old Style"/>
        </w:rPr>
        <w:t>had the capacity to be negligent as a matter of law wh</w:t>
      </w:r>
      <w:r>
        <w:rPr>
          <w:rFonts w:ascii="Bookman Old Style" w:hAnsi="Bookman Old Style"/>
        </w:rPr>
        <w:t>ere</w:t>
      </w:r>
      <w:r w:rsidR="00240503">
        <w:rPr>
          <w:rFonts w:ascii="Bookman Old Style" w:hAnsi="Bookman Old Style"/>
        </w:rPr>
        <w:t xml:space="preserve"> the child had been warned to watch for vehicles and </w:t>
      </w:r>
      <w:r>
        <w:rPr>
          <w:rFonts w:ascii="Bookman Old Style" w:hAnsi="Bookman Old Style"/>
        </w:rPr>
        <w:t xml:space="preserve">to </w:t>
      </w:r>
      <w:r w:rsidR="00240503">
        <w:rPr>
          <w:rFonts w:ascii="Bookman Old Style" w:hAnsi="Bookman Old Style"/>
        </w:rPr>
        <w:t xml:space="preserve">not play in the streets. </w:t>
      </w:r>
      <w:smartTag w:uri="urn:schemas-microsoft-com:office:smarttags" w:element="State">
        <w:smartTag w:uri="urn:schemas-microsoft-com:office:smarttags" w:element="place">
          <w:r w:rsidR="00240503" w:rsidRPr="00DE3654">
            <w:rPr>
              <w:rFonts w:ascii="Bookman Old Style" w:hAnsi="Bookman Old Style"/>
              <w:i/>
            </w:rPr>
            <w:t>Id</w:t>
          </w:r>
          <w:r w:rsidR="00240503">
            <w:rPr>
              <w:rFonts w:ascii="Bookman Old Style" w:hAnsi="Bookman Old Style"/>
            </w:rPr>
            <w:t>.</w:t>
          </w:r>
        </w:smartTag>
      </w:smartTag>
      <w:r w:rsidR="00240503">
        <w:rPr>
          <w:rFonts w:ascii="Bookman Old Style" w:hAnsi="Bookman Old Style"/>
        </w:rPr>
        <w:t xml:space="preserve"> </w:t>
      </w:r>
    </w:p>
    <w:sectPr w:rsidR="00240503" w:rsidSect="00950439"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186" w:rsidRDefault="001B7186">
      <w:r>
        <w:separator/>
      </w:r>
    </w:p>
  </w:endnote>
  <w:endnote w:type="continuationSeparator" w:id="0">
    <w:p w:rsidR="001B7186" w:rsidRDefault="001B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805" w:rsidRPr="00CF4480" w:rsidRDefault="00800BB2" w:rsidP="00800BB2">
    <w:pPr>
      <w:pStyle w:val="Footer"/>
      <w:tabs>
        <w:tab w:val="clear" w:pos="8640"/>
        <w:tab w:val="right" w:pos="9360"/>
      </w:tabs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sz w:val="24"/>
        <w:szCs w:val="24"/>
      </w:rPr>
      <w:t>2008</w:t>
    </w:r>
    <w:r>
      <w:rPr>
        <w:rFonts w:ascii="Bookman Old Style" w:hAnsi="Bookman Old Style"/>
        <w:sz w:val="24"/>
        <w:szCs w:val="24"/>
      </w:rPr>
      <w:tab/>
    </w:r>
    <w:r>
      <w:rPr>
        <w:rFonts w:ascii="Bookman Old Style" w:hAnsi="Bookman Old Style"/>
        <w:sz w:val="24"/>
        <w:szCs w:val="24"/>
      </w:rPr>
      <w:tab/>
    </w:r>
    <w:r w:rsidR="00A06805">
      <w:rPr>
        <w:rFonts w:ascii="Bookman Old Style" w:hAnsi="Bookman Old Style"/>
        <w:sz w:val="24"/>
        <w:szCs w:val="24"/>
      </w:rPr>
      <w:t xml:space="preserve">03.03C - </w:t>
    </w:r>
    <w:r w:rsidR="00A06805">
      <w:rPr>
        <w:rStyle w:val="PageNumber"/>
      </w:rPr>
      <w:fldChar w:fldCharType="begin"/>
    </w:r>
    <w:r w:rsidR="00A06805">
      <w:rPr>
        <w:rStyle w:val="PageNumber"/>
      </w:rPr>
      <w:instrText xml:space="preserve"> PAGE </w:instrText>
    </w:r>
    <w:r w:rsidR="00A06805">
      <w:rPr>
        <w:rStyle w:val="PageNumber"/>
      </w:rPr>
      <w:fldChar w:fldCharType="separate"/>
    </w:r>
    <w:r w:rsidR="00F80F13">
      <w:rPr>
        <w:rStyle w:val="PageNumber"/>
        <w:noProof/>
      </w:rPr>
      <w:t>1</w:t>
    </w:r>
    <w:r w:rsidR="00A0680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186" w:rsidRDefault="001B7186">
      <w:r>
        <w:separator/>
      </w:r>
    </w:p>
  </w:footnote>
  <w:footnote w:type="continuationSeparator" w:id="0">
    <w:p w:rsidR="001B7186" w:rsidRDefault="001B7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B3785"/>
    <w:multiLevelType w:val="singleLevel"/>
    <w:tmpl w:val="3684B9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480"/>
    <w:rsid w:val="00020EDE"/>
    <w:rsid w:val="00022A3A"/>
    <w:rsid w:val="00041F7B"/>
    <w:rsid w:val="00080C3B"/>
    <w:rsid w:val="000A18D9"/>
    <w:rsid w:val="001B7186"/>
    <w:rsid w:val="00240503"/>
    <w:rsid w:val="002B3DB7"/>
    <w:rsid w:val="002C6943"/>
    <w:rsid w:val="002F1A9B"/>
    <w:rsid w:val="002F3537"/>
    <w:rsid w:val="003B5F39"/>
    <w:rsid w:val="00424059"/>
    <w:rsid w:val="004624BC"/>
    <w:rsid w:val="00495548"/>
    <w:rsid w:val="004A27E4"/>
    <w:rsid w:val="004B0D3B"/>
    <w:rsid w:val="00527000"/>
    <w:rsid w:val="005861E9"/>
    <w:rsid w:val="0059299A"/>
    <w:rsid w:val="006F431C"/>
    <w:rsid w:val="00706FF5"/>
    <w:rsid w:val="007A0358"/>
    <w:rsid w:val="00800BB2"/>
    <w:rsid w:val="008530DF"/>
    <w:rsid w:val="008C41C1"/>
    <w:rsid w:val="00904F42"/>
    <w:rsid w:val="009265E5"/>
    <w:rsid w:val="00950439"/>
    <w:rsid w:val="00965374"/>
    <w:rsid w:val="009C142E"/>
    <w:rsid w:val="009E7F11"/>
    <w:rsid w:val="00A05258"/>
    <w:rsid w:val="00A06805"/>
    <w:rsid w:val="00A35380"/>
    <w:rsid w:val="00AE75A2"/>
    <w:rsid w:val="00AF754A"/>
    <w:rsid w:val="00B05628"/>
    <w:rsid w:val="00C04474"/>
    <w:rsid w:val="00CE6189"/>
    <w:rsid w:val="00CF4480"/>
    <w:rsid w:val="00D73350"/>
    <w:rsid w:val="00DB33B1"/>
    <w:rsid w:val="00DD3957"/>
    <w:rsid w:val="00DE3654"/>
    <w:rsid w:val="00E37E27"/>
    <w:rsid w:val="00F23302"/>
    <w:rsid w:val="00F44D67"/>
    <w:rsid w:val="00F80F13"/>
    <w:rsid w:val="00FB5488"/>
    <w:rsid w:val="00FB6105"/>
    <w:rsid w:val="00FE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6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rFonts w:ascii="Bookman Old Style" w:hAnsi="Bookman Old Style"/>
      <w:b/>
      <w:cap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line="480" w:lineRule="auto"/>
      <w:ind w:left="720"/>
    </w:pPr>
  </w:style>
  <w:style w:type="paragraph" w:styleId="BodyText">
    <w:name w:val="Body Text"/>
    <w:basedOn w:val="Normal"/>
    <w:rPr>
      <w:i/>
    </w:rPr>
  </w:style>
  <w:style w:type="paragraph" w:styleId="BodyText2">
    <w:name w:val="Body Text 2"/>
    <w:basedOn w:val="Normal"/>
    <w:pPr>
      <w:spacing w:line="480" w:lineRule="auto"/>
      <w:jc w:val="both"/>
    </w:pPr>
  </w:style>
  <w:style w:type="paragraph" w:styleId="BalloonText">
    <w:name w:val="Balloon Text"/>
    <w:basedOn w:val="Normal"/>
    <w:semiHidden/>
    <w:rsid w:val="002C6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6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rFonts w:ascii="Bookman Old Style" w:hAnsi="Bookman Old Style"/>
      <w:b/>
      <w:cap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line="480" w:lineRule="auto"/>
      <w:ind w:left="720"/>
    </w:pPr>
  </w:style>
  <w:style w:type="paragraph" w:styleId="BodyText">
    <w:name w:val="Body Text"/>
    <w:basedOn w:val="Normal"/>
    <w:rPr>
      <w:i/>
    </w:rPr>
  </w:style>
  <w:style w:type="paragraph" w:styleId="BodyText2">
    <w:name w:val="Body Text 2"/>
    <w:basedOn w:val="Normal"/>
    <w:pPr>
      <w:spacing w:line="480" w:lineRule="auto"/>
      <w:jc w:val="both"/>
    </w:pPr>
  </w:style>
  <w:style w:type="paragraph" w:styleId="BalloonText">
    <w:name w:val="Balloon Text"/>
    <w:basedOn w:val="Normal"/>
    <w:semiHidden/>
    <w:rsid w:val="002C6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</vt:lpstr>
    </vt:vector>
  </TitlesOfParts>
  <Company>State of Alaska - Dept of Law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Lesia Lefner l</dc:creator>
  <cp:keywords/>
  <cp:lastModifiedBy>Michael Merrington</cp:lastModifiedBy>
  <cp:revision>3</cp:revision>
  <cp:lastPrinted>2006-11-09T19:19:00Z</cp:lastPrinted>
  <dcterms:created xsi:type="dcterms:W3CDTF">2017-04-04T18:47:00Z</dcterms:created>
  <dcterms:modified xsi:type="dcterms:W3CDTF">2017-04-04T18:47:00Z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78407035</vt:i4>
  </property>
  <property fmtid="{D5CDD505-2E9C-101B-9397-08002B2CF9AE}" pid="3" name="_EmailSubject">
    <vt:lpwstr>Supplement 15</vt:lpwstr>
  </property>
  <property fmtid="{D5CDD505-2E9C-101B-9397-08002B2CF9AE}" pid="4" name="_AuthorEmail">
    <vt:lpwstr>jhoenack@courts.state.ak.us</vt:lpwstr>
  </property>
  <property fmtid="{D5CDD505-2E9C-101B-9397-08002B2CF9AE}" pid="5" name="_AuthorEmailDisplayName">
    <vt:lpwstr>Jennie Marshall-Hoenack</vt:lpwstr>
  </property>
  <property fmtid="{D5CDD505-2E9C-101B-9397-08002B2CF9AE}" pid="6" name="_ReviewingToolsShownOnce">
    <vt:lpwstr/>
  </property>
</Properties>
</file>