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9A" w:rsidRPr="00A241F8" w:rsidRDefault="00B90492" w:rsidP="00A241F8">
      <w:pPr>
        <w:pStyle w:val="OmniPage15"/>
        <w:tabs>
          <w:tab w:val="left" w:pos="1502"/>
          <w:tab w:val="right" w:pos="8199"/>
        </w:tabs>
        <w:spacing w:line="360" w:lineRule="auto"/>
        <w:ind w:left="67"/>
        <w:jc w:val="both"/>
        <w:rPr>
          <w:rFonts w:ascii="Bookman Old Style" w:hAnsi="Bookman Old Style"/>
          <w:b/>
          <w:bCs/>
          <w:sz w:val="26"/>
        </w:rPr>
      </w:pPr>
      <w:bookmarkStart w:id="0" w:name="_GoBack"/>
      <w:bookmarkEnd w:id="0"/>
      <w:r w:rsidRPr="00A241F8">
        <w:rPr>
          <w:rFonts w:ascii="Bookman Old Style" w:hAnsi="Bookman Old Style"/>
          <w:b/>
          <w:bCs/>
          <w:sz w:val="26"/>
        </w:rPr>
        <w:t>03.04B</w:t>
      </w:r>
      <w:r w:rsidRPr="00A241F8">
        <w:rPr>
          <w:rFonts w:ascii="Bookman Old Style" w:hAnsi="Bookman Old Style"/>
          <w:b/>
          <w:bCs/>
          <w:sz w:val="26"/>
        </w:rPr>
        <w:tab/>
        <w:t xml:space="preserve">VIOLATION OF STATUTE – </w:t>
      </w:r>
      <w:r w:rsidR="00A6259A" w:rsidRPr="00A241F8">
        <w:rPr>
          <w:rFonts w:ascii="Bookman Old Style" w:hAnsi="Bookman Old Style"/>
          <w:b/>
          <w:bCs/>
          <w:sz w:val="26"/>
        </w:rPr>
        <w:t>EVIDENCE OF NEGLIGENCE</w:t>
      </w:r>
    </w:p>
    <w:p w:rsidR="00A6259A" w:rsidRDefault="00A6259A" w:rsidP="00A241F8">
      <w:pPr>
        <w:spacing w:line="360" w:lineRule="auto"/>
        <w:jc w:val="both"/>
        <w:rPr>
          <w:rFonts w:ascii="Bookman Old Style" w:hAnsi="Bookman Old Style"/>
          <w:sz w:val="26"/>
        </w:rPr>
      </w:pPr>
    </w:p>
    <w:p w:rsidR="004B5CF6" w:rsidRDefault="005215B8" w:rsidP="00A241F8">
      <w:pPr>
        <w:pStyle w:val="OmniPage16"/>
        <w:tabs>
          <w:tab w:val="left" w:pos="7200"/>
        </w:tabs>
        <w:spacing w:line="360" w:lineRule="auto"/>
        <w:jc w:val="both"/>
        <w:rPr>
          <w:rFonts w:ascii="Bookman Old Style" w:hAnsi="Bookman Old Style"/>
          <w:sz w:val="26"/>
        </w:rPr>
      </w:pPr>
      <w:r>
        <w:rPr>
          <w:rFonts w:ascii="Bookman Old Style" w:hAnsi="Bookman Old Style"/>
          <w:sz w:val="26"/>
        </w:rPr>
        <w:t>A [state law][municipal ordinance]</w:t>
      </w:r>
      <w:r w:rsidR="00B90492">
        <w:rPr>
          <w:rFonts w:ascii="Bookman Old Style" w:hAnsi="Bookman Old Style"/>
          <w:sz w:val="26"/>
        </w:rPr>
        <w:t xml:space="preserve"> </w:t>
      </w:r>
      <w:r w:rsidR="00A6259A">
        <w:rPr>
          <w:rFonts w:ascii="Bookman Old Style" w:hAnsi="Bookman Old Style"/>
          <w:sz w:val="26"/>
        </w:rPr>
        <w:t xml:space="preserve">provides:  </w:t>
      </w:r>
    </w:p>
    <w:p w:rsidR="004B5CF6" w:rsidRDefault="004B5CF6" w:rsidP="00A241F8">
      <w:pPr>
        <w:pStyle w:val="OmniPage16"/>
        <w:tabs>
          <w:tab w:val="left" w:pos="7200"/>
        </w:tabs>
        <w:spacing w:line="360" w:lineRule="auto"/>
        <w:jc w:val="both"/>
        <w:rPr>
          <w:rFonts w:ascii="Bookman Old Style" w:hAnsi="Bookman Old Style"/>
          <w:sz w:val="26"/>
        </w:rPr>
      </w:pPr>
    </w:p>
    <w:p w:rsidR="00A6259A" w:rsidRDefault="004B5CF6" w:rsidP="00A77761">
      <w:pPr>
        <w:pStyle w:val="OmniPage16"/>
        <w:tabs>
          <w:tab w:val="left" w:pos="720"/>
          <w:tab w:val="left" w:pos="7200"/>
        </w:tabs>
        <w:spacing w:line="360" w:lineRule="auto"/>
        <w:jc w:val="both"/>
        <w:rPr>
          <w:rFonts w:ascii="Bookman Old Style" w:hAnsi="Bookman Old Style"/>
          <w:sz w:val="26"/>
        </w:rPr>
      </w:pPr>
      <w:r>
        <w:rPr>
          <w:rFonts w:ascii="Bookman Old Style" w:hAnsi="Bookman Old Style"/>
          <w:sz w:val="26"/>
        </w:rPr>
        <w:tab/>
      </w:r>
      <w:r w:rsidR="00A6259A">
        <w:rPr>
          <w:rFonts w:ascii="Bookman Old Style" w:hAnsi="Bookman Old Style"/>
          <w:sz w:val="26"/>
        </w:rPr>
        <w:t>(</w:t>
      </w:r>
      <w:r w:rsidR="005215B8">
        <w:rPr>
          <w:rFonts w:ascii="Bookman Old Style" w:hAnsi="Bookman Old Style"/>
          <w:sz w:val="26"/>
        </w:rPr>
        <w:t>Quote</w:t>
      </w:r>
      <w:r w:rsidR="00A6259A">
        <w:rPr>
          <w:rFonts w:ascii="Bookman Old Style" w:hAnsi="Bookman Old Style"/>
          <w:sz w:val="26"/>
        </w:rPr>
        <w:t xml:space="preserve"> applicable statute, regulation, or ordinan</w:t>
      </w:r>
      <w:r>
        <w:rPr>
          <w:rFonts w:ascii="Bookman Old Style" w:hAnsi="Bookman Old Style"/>
          <w:sz w:val="26"/>
        </w:rPr>
        <w:t>ce</w:t>
      </w:r>
      <w:r w:rsidR="00A6259A">
        <w:rPr>
          <w:rFonts w:ascii="Bookman Old Style" w:hAnsi="Bookman Old Style"/>
          <w:sz w:val="26"/>
        </w:rPr>
        <w:t>)</w:t>
      </w:r>
    </w:p>
    <w:p w:rsidR="00A6259A" w:rsidRDefault="00A6259A" w:rsidP="00A241F8">
      <w:pPr>
        <w:pStyle w:val="OmniPage15"/>
        <w:spacing w:line="360" w:lineRule="auto"/>
        <w:ind w:left="810" w:right="142" w:firstLine="34"/>
        <w:jc w:val="both"/>
        <w:rPr>
          <w:rFonts w:ascii="Bookman Old Style" w:hAnsi="Bookman Old Style"/>
          <w:sz w:val="26"/>
        </w:rPr>
      </w:pPr>
    </w:p>
    <w:p w:rsidR="00C066FA" w:rsidRDefault="00C066FA" w:rsidP="00A77761">
      <w:pPr>
        <w:pStyle w:val="OmniPage16"/>
        <w:spacing w:line="360" w:lineRule="auto"/>
        <w:ind w:right="139"/>
        <w:jc w:val="both"/>
        <w:rPr>
          <w:rFonts w:ascii="Bookman Old Style" w:hAnsi="Bookman Old Style"/>
          <w:sz w:val="26"/>
        </w:rPr>
      </w:pPr>
      <w:r>
        <w:rPr>
          <w:rFonts w:ascii="Bookman Old Style" w:hAnsi="Bookman Old Style"/>
          <w:sz w:val="26"/>
        </w:rPr>
        <w:t>This law, by itself, does not define reasonable care. If you find that the defendant violated this law, you may consider that fact, along with all the other evidence, in deciding whether the defendant used reasonable care.</w:t>
      </w:r>
    </w:p>
    <w:p w:rsidR="00C066FA" w:rsidRDefault="00C066FA" w:rsidP="00A241F8">
      <w:pPr>
        <w:pStyle w:val="OmniPage16"/>
        <w:spacing w:line="360" w:lineRule="auto"/>
        <w:ind w:left="59" w:right="139"/>
        <w:jc w:val="both"/>
        <w:rPr>
          <w:rFonts w:ascii="Bookman Old Style" w:hAnsi="Bookman Old Style"/>
          <w:sz w:val="26"/>
        </w:rPr>
      </w:pPr>
    </w:p>
    <w:p w:rsidR="001665EA" w:rsidRDefault="000D4643" w:rsidP="00A241F8">
      <w:pPr>
        <w:pStyle w:val="OmniPage8"/>
        <w:spacing w:line="360" w:lineRule="auto"/>
        <w:jc w:val="both"/>
        <w:rPr>
          <w:rFonts w:ascii="Bookman Old Style" w:hAnsi="Bookman Old Style"/>
          <w:sz w:val="26"/>
        </w:rPr>
      </w:pPr>
      <w:r>
        <w:rPr>
          <w:rFonts w:ascii="Bookman Old Style" w:hAnsi="Bookman Old Style"/>
          <w:sz w:val="26"/>
        </w:rPr>
        <w:t>I</w:t>
      </w:r>
      <w:r w:rsidR="001665EA">
        <w:rPr>
          <w:rFonts w:ascii="Bookman Old Style" w:hAnsi="Bookman Old Style"/>
          <w:sz w:val="26"/>
        </w:rPr>
        <w:t>f you find that the defen</w:t>
      </w:r>
      <w:r w:rsidR="00A07E19">
        <w:rPr>
          <w:rFonts w:ascii="Bookman Old Style" w:hAnsi="Bookman Old Style"/>
          <w:sz w:val="26"/>
        </w:rPr>
        <w:t>dant complied with this law</w:t>
      </w:r>
      <w:r w:rsidR="001665EA">
        <w:rPr>
          <w:rFonts w:ascii="Bookman Old Style" w:hAnsi="Bookman Old Style"/>
          <w:sz w:val="26"/>
        </w:rPr>
        <w:t>, you may</w:t>
      </w:r>
      <w:r w:rsidR="001665EA">
        <w:rPr>
          <w:rFonts w:ascii="Bookman Old Style" w:hAnsi="Bookman Old Style"/>
          <w:i/>
          <w:sz w:val="26"/>
        </w:rPr>
        <w:t xml:space="preserve"> </w:t>
      </w:r>
      <w:r w:rsidR="001665EA">
        <w:rPr>
          <w:rFonts w:ascii="Bookman Old Style" w:hAnsi="Bookman Old Style"/>
          <w:sz w:val="26"/>
        </w:rPr>
        <w:t>still</w:t>
      </w:r>
      <w:r w:rsidR="00A07E19">
        <w:rPr>
          <w:rFonts w:ascii="Bookman Old Style" w:hAnsi="Bookman Old Style"/>
          <w:sz w:val="26"/>
        </w:rPr>
        <w:t xml:space="preserve"> find that [he][she] </w:t>
      </w:r>
      <w:r w:rsidR="00B30984">
        <w:rPr>
          <w:rFonts w:ascii="Bookman Old Style" w:hAnsi="Bookman Old Style"/>
          <w:sz w:val="26"/>
        </w:rPr>
        <w:t>was negligent</w:t>
      </w:r>
      <w:r w:rsidR="001665EA">
        <w:rPr>
          <w:rFonts w:ascii="Bookman Old Style" w:hAnsi="Bookman Old Style"/>
          <w:sz w:val="26"/>
        </w:rPr>
        <w:t xml:space="preserve"> if you decide that a reasonable person would have taken precautions in addition to those </w:t>
      </w:r>
      <w:r w:rsidR="00A07E19">
        <w:rPr>
          <w:rFonts w:ascii="Bookman Old Style" w:hAnsi="Bookman Old Style"/>
          <w:sz w:val="26"/>
        </w:rPr>
        <w:t>required by this law</w:t>
      </w:r>
      <w:r w:rsidR="001665EA">
        <w:rPr>
          <w:rFonts w:ascii="Bookman Old Style" w:hAnsi="Bookman Old Style"/>
          <w:sz w:val="26"/>
        </w:rPr>
        <w:t>.</w:t>
      </w:r>
    </w:p>
    <w:p w:rsidR="001665EA" w:rsidRDefault="001665EA" w:rsidP="00A241F8">
      <w:pPr>
        <w:pStyle w:val="OmniPage16"/>
        <w:spacing w:line="240" w:lineRule="auto"/>
        <w:ind w:left="59" w:right="139"/>
        <w:jc w:val="both"/>
        <w:rPr>
          <w:rFonts w:ascii="Bookman Old Style" w:hAnsi="Bookman Old Style"/>
          <w:sz w:val="26"/>
        </w:rPr>
      </w:pPr>
    </w:p>
    <w:p w:rsidR="00A6259A" w:rsidRDefault="00A241F8" w:rsidP="00A241F8">
      <w:pPr>
        <w:pStyle w:val="OmniPage15"/>
        <w:tabs>
          <w:tab w:val="right" w:pos="5293"/>
        </w:tabs>
        <w:spacing w:line="240" w:lineRule="auto"/>
        <w:jc w:val="center"/>
        <w:rPr>
          <w:rFonts w:ascii="Bookman Old Style" w:hAnsi="Bookman Old Style"/>
          <w:sz w:val="26"/>
          <w:u w:val="single"/>
        </w:rPr>
      </w:pPr>
      <w:r>
        <w:rPr>
          <w:rFonts w:ascii="Bookman Old Style" w:hAnsi="Bookman Old Style"/>
          <w:sz w:val="26"/>
          <w:u w:val="single"/>
        </w:rPr>
        <w:t>Direction</w:t>
      </w:r>
      <w:r w:rsidR="009F79F0">
        <w:rPr>
          <w:rFonts w:ascii="Bookman Old Style" w:hAnsi="Bookman Old Style"/>
          <w:sz w:val="26"/>
          <w:u w:val="single"/>
        </w:rPr>
        <w:t>s</w:t>
      </w:r>
      <w:r>
        <w:rPr>
          <w:rFonts w:ascii="Bookman Old Style" w:hAnsi="Bookman Old Style"/>
          <w:sz w:val="26"/>
          <w:u w:val="single"/>
        </w:rPr>
        <w:t xml:space="preserve"> for Use</w:t>
      </w:r>
    </w:p>
    <w:p w:rsidR="00A6259A" w:rsidRDefault="00A6259A" w:rsidP="00A241F8">
      <w:pPr>
        <w:jc w:val="both"/>
        <w:rPr>
          <w:rFonts w:ascii="Bookman Old Style" w:hAnsi="Bookman Old Style"/>
          <w:sz w:val="26"/>
        </w:rPr>
      </w:pPr>
    </w:p>
    <w:p w:rsidR="00A6259A" w:rsidRDefault="00A6259A" w:rsidP="00A241F8">
      <w:pPr>
        <w:pStyle w:val="OmniPage15"/>
        <w:spacing w:line="240" w:lineRule="auto"/>
        <w:jc w:val="both"/>
        <w:rPr>
          <w:rFonts w:ascii="Bookman Old Style" w:hAnsi="Bookman Old Style"/>
          <w:sz w:val="26"/>
        </w:rPr>
      </w:pPr>
      <w:r>
        <w:rPr>
          <w:rFonts w:ascii="Bookman Old Style" w:hAnsi="Bookman Old Style"/>
          <w:sz w:val="26"/>
        </w:rPr>
        <w:t xml:space="preserve">This instruction </w:t>
      </w:r>
      <w:r w:rsidR="00563F15">
        <w:rPr>
          <w:rFonts w:ascii="Bookman Old Style" w:hAnsi="Bookman Old Style"/>
          <w:sz w:val="26"/>
        </w:rPr>
        <w:t xml:space="preserve">may </w:t>
      </w:r>
      <w:r w:rsidR="004B5CF6">
        <w:rPr>
          <w:rFonts w:ascii="Bookman Old Style" w:hAnsi="Bookman Old Style"/>
          <w:sz w:val="26"/>
        </w:rPr>
        <w:t>be used when</w:t>
      </w:r>
      <w:r>
        <w:rPr>
          <w:rFonts w:ascii="Bookman Old Style" w:hAnsi="Bookman Old Style"/>
          <w:sz w:val="26"/>
        </w:rPr>
        <w:t xml:space="preserve"> </w:t>
      </w:r>
      <w:r w:rsidR="00BC6DB9">
        <w:rPr>
          <w:rFonts w:ascii="Bookman Old Style" w:hAnsi="Bookman Old Style"/>
          <w:sz w:val="26"/>
        </w:rPr>
        <w:t>the court has determined that the violation of a statute, regulation</w:t>
      </w:r>
      <w:r w:rsidR="004B5CF6">
        <w:rPr>
          <w:rFonts w:ascii="Bookman Old Style" w:hAnsi="Bookman Old Style"/>
          <w:sz w:val="26"/>
        </w:rPr>
        <w:t>,</w:t>
      </w:r>
      <w:r w:rsidR="00BC6DB9">
        <w:rPr>
          <w:rFonts w:ascii="Bookman Old Style" w:hAnsi="Bookman Old Style"/>
          <w:sz w:val="26"/>
        </w:rPr>
        <w:t xml:space="preserve"> or ordinance provide</w:t>
      </w:r>
      <w:r w:rsidR="00563F15">
        <w:rPr>
          <w:rFonts w:ascii="Bookman Old Style" w:hAnsi="Bookman Old Style"/>
          <w:sz w:val="26"/>
        </w:rPr>
        <w:t>s</w:t>
      </w:r>
      <w:r w:rsidR="00BC6DB9">
        <w:rPr>
          <w:rFonts w:ascii="Bookman Old Style" w:hAnsi="Bookman Old Style"/>
          <w:sz w:val="26"/>
        </w:rPr>
        <w:t xml:space="preserve"> some evidence of negligence. </w:t>
      </w:r>
      <w:r w:rsidR="00A241F8">
        <w:rPr>
          <w:rFonts w:ascii="Bookman Old Style" w:hAnsi="Bookman Old Style"/>
          <w:sz w:val="26"/>
        </w:rPr>
        <w:t xml:space="preserve"> </w:t>
      </w:r>
      <w:r>
        <w:rPr>
          <w:rFonts w:ascii="Bookman Old Style" w:hAnsi="Bookman Old Style"/>
          <w:sz w:val="26"/>
        </w:rPr>
        <w:t>Instruction 03.04A</w:t>
      </w:r>
      <w:r w:rsidR="00A241F8">
        <w:rPr>
          <w:rFonts w:ascii="Bookman Old Style" w:hAnsi="Bookman Old Style"/>
          <w:sz w:val="26"/>
        </w:rPr>
        <w:t xml:space="preserve"> (Violation of Statute-Negligence Per Se)</w:t>
      </w:r>
      <w:r w:rsidR="00BC6DB9">
        <w:rPr>
          <w:rFonts w:ascii="Bookman Old Style" w:hAnsi="Bookman Old Style"/>
          <w:sz w:val="26"/>
        </w:rPr>
        <w:t xml:space="preserve"> should be given instead of this instruction if the court has adopted the statute, regulation or ordinance as the standard of care</w:t>
      </w:r>
      <w:r>
        <w:rPr>
          <w:rFonts w:ascii="Bookman Old Style" w:hAnsi="Bookman Old Style"/>
          <w:sz w:val="26"/>
        </w:rPr>
        <w:t>.</w:t>
      </w:r>
    </w:p>
    <w:p w:rsidR="005215B8" w:rsidRDefault="005215B8" w:rsidP="00A241F8">
      <w:pPr>
        <w:pStyle w:val="OmniPage15"/>
        <w:spacing w:line="240" w:lineRule="auto"/>
        <w:jc w:val="both"/>
        <w:rPr>
          <w:rFonts w:ascii="Bookman Old Style" w:hAnsi="Bookman Old Style"/>
          <w:sz w:val="26"/>
        </w:rPr>
      </w:pPr>
    </w:p>
    <w:p w:rsidR="005215B8" w:rsidRDefault="005215B8" w:rsidP="00A241F8">
      <w:pPr>
        <w:pStyle w:val="OmniPage15"/>
        <w:spacing w:line="240" w:lineRule="auto"/>
        <w:jc w:val="both"/>
        <w:rPr>
          <w:rFonts w:ascii="Bookman Old Style" w:hAnsi="Bookman Old Style"/>
          <w:sz w:val="26"/>
        </w:rPr>
      </w:pPr>
      <w:r>
        <w:rPr>
          <w:rFonts w:ascii="Bookman Old Style" w:hAnsi="Bookman Old Style"/>
          <w:sz w:val="26"/>
        </w:rPr>
        <w:t>This instruction should be g</w:t>
      </w:r>
      <w:r w:rsidR="00C66989">
        <w:rPr>
          <w:rFonts w:ascii="Bookman Old Style" w:hAnsi="Bookman Old Style"/>
          <w:sz w:val="26"/>
        </w:rPr>
        <w:t>iven with Instructions 03.01</w:t>
      </w:r>
      <w:r w:rsidR="00A241F8">
        <w:rPr>
          <w:rFonts w:ascii="Bookman Old Style" w:hAnsi="Bookman Old Style"/>
          <w:sz w:val="26"/>
        </w:rPr>
        <w:t xml:space="preserve"> (Negligence-When Plaintiff Entitled to Recover)</w:t>
      </w:r>
      <w:r w:rsidR="00C66989">
        <w:rPr>
          <w:rFonts w:ascii="Bookman Old Style" w:hAnsi="Bookman Old Style"/>
          <w:sz w:val="26"/>
        </w:rPr>
        <w:t xml:space="preserve">, </w:t>
      </w:r>
      <w:r>
        <w:rPr>
          <w:rFonts w:ascii="Bookman Old Style" w:hAnsi="Bookman Old Style"/>
          <w:sz w:val="26"/>
        </w:rPr>
        <w:t>03.03A</w:t>
      </w:r>
      <w:r w:rsidR="00A241F8">
        <w:rPr>
          <w:rFonts w:ascii="Bookman Old Style" w:hAnsi="Bookman Old Style"/>
          <w:sz w:val="26"/>
        </w:rPr>
        <w:t xml:space="preserve"> (Negligence Defined-Adult)</w:t>
      </w:r>
      <w:r w:rsidR="00C66989">
        <w:rPr>
          <w:rFonts w:ascii="Bookman Old Style" w:hAnsi="Bookman Old Style"/>
          <w:sz w:val="26"/>
        </w:rPr>
        <w:t>, and 3.0</w:t>
      </w:r>
      <w:r w:rsidR="00A241F8">
        <w:rPr>
          <w:rFonts w:ascii="Bookman Old Style" w:hAnsi="Bookman Old Style"/>
          <w:sz w:val="26"/>
        </w:rPr>
        <w:t>7 (Substantial Factor)</w:t>
      </w:r>
      <w:r>
        <w:rPr>
          <w:rFonts w:ascii="Bookman Old Style" w:hAnsi="Bookman Old Style"/>
          <w:sz w:val="26"/>
        </w:rPr>
        <w:t>.</w:t>
      </w:r>
    </w:p>
    <w:p w:rsidR="005215B8" w:rsidRDefault="005215B8" w:rsidP="00A241F8">
      <w:pPr>
        <w:pStyle w:val="OmniPage15"/>
        <w:spacing w:line="240" w:lineRule="auto"/>
        <w:jc w:val="both"/>
        <w:rPr>
          <w:rFonts w:ascii="Bookman Old Style" w:hAnsi="Bookman Old Style"/>
          <w:sz w:val="26"/>
        </w:rPr>
      </w:pPr>
    </w:p>
    <w:p w:rsidR="00A6259A" w:rsidRDefault="00A6259A" w:rsidP="00A241F8">
      <w:pPr>
        <w:pStyle w:val="OmniPage15"/>
        <w:tabs>
          <w:tab w:val="right" w:pos="5300"/>
          <w:tab w:val="left" w:pos="6210"/>
        </w:tabs>
        <w:spacing w:line="240" w:lineRule="auto"/>
        <w:jc w:val="center"/>
        <w:rPr>
          <w:rFonts w:ascii="Bookman Old Style" w:hAnsi="Bookman Old Style"/>
          <w:sz w:val="26"/>
          <w:u w:val="single"/>
        </w:rPr>
      </w:pPr>
      <w:r>
        <w:rPr>
          <w:rFonts w:ascii="Bookman Old Style" w:hAnsi="Bookman Old Style"/>
          <w:sz w:val="26"/>
          <w:u w:val="single"/>
        </w:rPr>
        <w:t>Comment</w:t>
      </w:r>
    </w:p>
    <w:p w:rsidR="009F2EB5" w:rsidRDefault="009F2EB5" w:rsidP="00A241F8">
      <w:pPr>
        <w:jc w:val="both"/>
        <w:rPr>
          <w:rFonts w:ascii="Bookman Old Style" w:hAnsi="Bookman Old Style"/>
          <w:sz w:val="26"/>
          <w:u w:val="single"/>
        </w:rPr>
      </w:pPr>
    </w:p>
    <w:p w:rsidR="00A6259A" w:rsidRPr="004B5CF6" w:rsidRDefault="00BC6DB9" w:rsidP="00A241F8">
      <w:pPr>
        <w:jc w:val="both"/>
        <w:rPr>
          <w:rFonts w:ascii="Bookman Old Style" w:hAnsi="Bookman Old Style" w:cs="Arial"/>
          <w:sz w:val="26"/>
          <w:szCs w:val="26"/>
        </w:rPr>
      </w:pPr>
      <w:r w:rsidRPr="00CF4920">
        <w:rPr>
          <w:rFonts w:ascii="Bookman Old Style" w:hAnsi="Bookman Old Style"/>
          <w:sz w:val="26"/>
        </w:rPr>
        <w:t xml:space="preserve">The court may decide that </w:t>
      </w:r>
      <w:r w:rsidR="00563F15">
        <w:rPr>
          <w:rFonts w:ascii="Bookman Old Style" w:hAnsi="Bookman Old Style"/>
          <w:sz w:val="26"/>
        </w:rPr>
        <w:t>although a</w:t>
      </w:r>
      <w:r w:rsidRPr="00CF4920">
        <w:rPr>
          <w:rFonts w:ascii="Bookman Old Style" w:hAnsi="Bookman Old Style"/>
          <w:sz w:val="26"/>
        </w:rPr>
        <w:t xml:space="preserve"> statute, regulation or ordinance does not establish the standard of care, its violation nevertheless provide</w:t>
      </w:r>
      <w:r w:rsidR="00563F15">
        <w:rPr>
          <w:rFonts w:ascii="Bookman Old Style" w:hAnsi="Bookman Old Style"/>
          <w:sz w:val="26"/>
        </w:rPr>
        <w:t>s</w:t>
      </w:r>
      <w:r w:rsidRPr="00CF4920">
        <w:rPr>
          <w:rFonts w:ascii="Bookman Old Style" w:hAnsi="Bookman Old Style"/>
          <w:sz w:val="26"/>
        </w:rPr>
        <w:t xml:space="preserve"> some evidence of negligence.  </w:t>
      </w:r>
      <w:r w:rsidRPr="004B5CF6">
        <w:rPr>
          <w:rFonts w:ascii="Bookman Old Style" w:hAnsi="Bookman Old Style"/>
          <w:i/>
          <w:sz w:val="26"/>
        </w:rPr>
        <w:t>Ferrell v. Baxter</w:t>
      </w:r>
      <w:r>
        <w:rPr>
          <w:rFonts w:ascii="Bookman Old Style" w:hAnsi="Bookman Old Style"/>
          <w:sz w:val="26"/>
        </w:rPr>
        <w:t xml:space="preserve">, 484 P.2d 250, </w:t>
      </w:r>
      <w:r w:rsidR="004B5CF6">
        <w:rPr>
          <w:rFonts w:ascii="Bookman Old Style" w:hAnsi="Bookman Old Style"/>
          <w:sz w:val="26"/>
        </w:rPr>
        <w:t xml:space="preserve">261, </w:t>
      </w:r>
      <w:r>
        <w:rPr>
          <w:rFonts w:ascii="Bookman Old Style" w:hAnsi="Bookman Old Style"/>
          <w:sz w:val="26"/>
        </w:rPr>
        <w:t>265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1971).</w:t>
      </w:r>
      <w:bookmarkStart w:id="1" w:name="Document1zzFN_B02525"/>
      <w:bookmarkEnd w:id="1"/>
      <w:r w:rsidR="004B5CF6">
        <w:rPr>
          <w:rFonts w:ascii="Bookman Old Style" w:hAnsi="Bookman Old Style"/>
          <w:sz w:val="26"/>
        </w:rPr>
        <w:t xml:space="preserve"> </w:t>
      </w:r>
      <w:r w:rsidR="004B5CF6" w:rsidRPr="004B5CF6">
        <w:rPr>
          <w:rFonts w:ascii="Bookman Old Style" w:hAnsi="Bookman Old Style"/>
          <w:i/>
          <w:sz w:val="26"/>
        </w:rPr>
        <w:t xml:space="preserve">See, </w:t>
      </w:r>
      <w:r w:rsidR="00DA0E1F" w:rsidRPr="004B5CF6">
        <w:rPr>
          <w:rFonts w:ascii="Bookman Old Style" w:hAnsi="Bookman Old Style"/>
          <w:i/>
          <w:sz w:val="26"/>
        </w:rPr>
        <w:t>e.g.,</w:t>
      </w:r>
      <w:bookmarkStart w:id="2" w:name="Document0zzSDUNumber1"/>
      <w:bookmarkEnd w:id="2"/>
      <w:r w:rsidR="004B5CF6" w:rsidRPr="004B5CF6">
        <w:rPr>
          <w:rFonts w:ascii="Bookman Old Style" w:hAnsi="Bookman Old Style"/>
          <w:i/>
          <w:sz w:val="26"/>
        </w:rPr>
        <w:t xml:space="preserve"> </w:t>
      </w:r>
      <w:r w:rsidR="00DA0E1F" w:rsidRPr="004B5CF6">
        <w:rPr>
          <w:rFonts w:ascii="Bookman Old Style" w:hAnsi="Bookman Old Style"/>
          <w:i/>
          <w:sz w:val="26"/>
          <w:szCs w:val="26"/>
        </w:rPr>
        <w:t>Keogh v. W.R. Grasle, Inc.</w:t>
      </w:r>
      <w:r w:rsidR="00DA0E1F" w:rsidRPr="001F73E6">
        <w:rPr>
          <w:rFonts w:ascii="Bookman Old Style" w:hAnsi="Bookman Old Style"/>
          <w:sz w:val="26"/>
          <w:szCs w:val="26"/>
        </w:rPr>
        <w:t>, 816 P.2d 1343, 1350 (Alaska 1991)</w:t>
      </w:r>
      <w:r w:rsidR="004B5CF6">
        <w:rPr>
          <w:rFonts w:ascii="Bookman Old Style" w:hAnsi="Bookman Old Style"/>
          <w:sz w:val="26"/>
          <w:szCs w:val="26"/>
        </w:rPr>
        <w:t xml:space="preserve"> </w:t>
      </w:r>
      <w:r w:rsidR="00DA0E1F" w:rsidRPr="001F73E6">
        <w:rPr>
          <w:rFonts w:ascii="Bookman Old Style" w:hAnsi="Bookman Old Style"/>
          <w:sz w:val="26"/>
          <w:szCs w:val="26"/>
        </w:rPr>
        <w:t>(</w:t>
      </w:r>
      <w:r w:rsidR="00DA0E1F">
        <w:rPr>
          <w:rFonts w:ascii="Bookman Old Style" w:hAnsi="Bookman Old Style"/>
          <w:sz w:val="26"/>
          <w:szCs w:val="26"/>
        </w:rPr>
        <w:t>violations of National Electrical Safety Code relevant to question of whether conduct was reasonable);</w:t>
      </w:r>
      <w:r w:rsidR="004B5CF6">
        <w:rPr>
          <w:rFonts w:ascii="Bookman Old Style" w:hAnsi="Bookman Old Style" w:cs="Arial"/>
          <w:sz w:val="26"/>
          <w:szCs w:val="26"/>
        </w:rPr>
        <w:t xml:space="preserve"> </w:t>
      </w:r>
      <w:r w:rsidR="00CF4920" w:rsidRPr="004B5CF6">
        <w:rPr>
          <w:rFonts w:ascii="Bookman Old Style" w:hAnsi="Bookman Old Style" w:cs="Arial"/>
          <w:i/>
          <w:sz w:val="26"/>
          <w:szCs w:val="26"/>
        </w:rPr>
        <w:t xml:space="preserve">Meyst v. East </w:t>
      </w:r>
      <w:r w:rsidR="00CF4920" w:rsidRPr="004B5CF6">
        <w:rPr>
          <w:rFonts w:ascii="Bookman Old Style" w:hAnsi="Bookman Old Style" w:cs="Arial"/>
          <w:i/>
          <w:sz w:val="26"/>
          <w:szCs w:val="26"/>
        </w:rPr>
        <w:lastRenderedPageBreak/>
        <w:t>Fifth Avenue Service, Inc.</w:t>
      </w:r>
      <w:r w:rsidR="00CF4920" w:rsidRPr="00CF4920">
        <w:rPr>
          <w:rFonts w:ascii="Bookman Old Style" w:hAnsi="Bookman Old Style" w:cs="Arial"/>
          <w:sz w:val="26"/>
          <w:szCs w:val="26"/>
        </w:rPr>
        <w:t>, 401 P.2d</w:t>
      </w:r>
      <w:r w:rsidR="007027EF">
        <w:rPr>
          <w:rFonts w:ascii="Bookman Old Style" w:hAnsi="Bookman Old Style" w:cs="Arial"/>
          <w:sz w:val="26"/>
          <w:szCs w:val="26"/>
        </w:rPr>
        <w:t xml:space="preserve"> </w:t>
      </w:r>
      <w:r w:rsidR="004B5CF6">
        <w:rPr>
          <w:rFonts w:ascii="Bookman Old Style" w:hAnsi="Bookman Old Style" w:cs="Arial"/>
          <w:sz w:val="26"/>
          <w:szCs w:val="26"/>
        </w:rPr>
        <w:t>430, 435-</w:t>
      </w:r>
      <w:r w:rsidR="00CF4920" w:rsidRPr="00CF4920">
        <w:rPr>
          <w:rFonts w:ascii="Bookman Old Style" w:hAnsi="Bookman Old Style" w:cs="Arial"/>
          <w:sz w:val="26"/>
          <w:szCs w:val="26"/>
        </w:rPr>
        <w:t>36 (Alaska 1965</w:t>
      </w:r>
      <w:r w:rsidR="00CF4920">
        <w:rPr>
          <w:rFonts w:ascii="Bookman Old Style" w:hAnsi="Bookman Old Style" w:cs="Arial"/>
          <w:sz w:val="26"/>
          <w:szCs w:val="26"/>
        </w:rPr>
        <w:t>)</w:t>
      </w:r>
      <w:r w:rsidR="009F2EB5">
        <w:rPr>
          <w:rFonts w:ascii="Bookman Old Style" w:hAnsi="Bookman Old Style" w:cs="Arial"/>
          <w:sz w:val="26"/>
          <w:szCs w:val="26"/>
        </w:rPr>
        <w:t xml:space="preserve"> (</w:t>
      </w:r>
      <w:r w:rsidR="009F2EB5" w:rsidRPr="009F2EB5">
        <w:rPr>
          <w:rFonts w:ascii="Bookman Old Style" w:hAnsi="Bookman Old Style" w:cs="Arial"/>
          <w:color w:val="000000"/>
          <w:sz w:val="26"/>
          <w:szCs w:val="26"/>
        </w:rPr>
        <w:t xml:space="preserve">trial court </w:t>
      </w:r>
      <w:r>
        <w:rPr>
          <w:rFonts w:ascii="Bookman Old Style" w:hAnsi="Bookman Old Style" w:cs="Arial"/>
          <w:color w:val="000000"/>
          <w:sz w:val="26"/>
          <w:szCs w:val="26"/>
        </w:rPr>
        <w:t xml:space="preserve">gave </w:t>
      </w:r>
      <w:r w:rsidR="009F2EB5" w:rsidRPr="009F2EB5">
        <w:rPr>
          <w:rFonts w:ascii="Bookman Old Style" w:hAnsi="Bookman Old Style" w:cs="Arial"/>
          <w:color w:val="000000"/>
          <w:sz w:val="26"/>
          <w:szCs w:val="26"/>
        </w:rPr>
        <w:t>instruction permitting</w:t>
      </w:r>
      <w:r w:rsidR="009F2EB5">
        <w:rPr>
          <w:rFonts w:ascii="Bookman Old Style" w:hAnsi="Bookman Old Style" w:cs="Arial"/>
          <w:color w:val="000000"/>
          <w:sz w:val="26"/>
          <w:szCs w:val="26"/>
        </w:rPr>
        <w:t xml:space="preserve"> </w:t>
      </w:r>
      <w:r w:rsidR="009F2EB5" w:rsidRPr="009F2EB5">
        <w:rPr>
          <w:rFonts w:ascii="Bookman Old Style" w:hAnsi="Bookman Old Style" w:cs="Arial"/>
          <w:color w:val="000000"/>
          <w:sz w:val="26"/>
          <w:szCs w:val="26"/>
        </w:rPr>
        <w:t xml:space="preserve">the jury </w:t>
      </w:r>
      <w:r w:rsidR="005215B8">
        <w:rPr>
          <w:rFonts w:ascii="Bookman Old Style" w:hAnsi="Bookman Old Style" w:cs="Arial"/>
          <w:color w:val="000000"/>
          <w:sz w:val="26"/>
          <w:szCs w:val="26"/>
        </w:rPr>
        <w:t xml:space="preserve">to </w:t>
      </w:r>
      <w:r w:rsidR="009F2EB5">
        <w:rPr>
          <w:rFonts w:ascii="Bookman Old Style" w:hAnsi="Bookman Old Style" w:cs="Arial"/>
          <w:color w:val="000000"/>
          <w:sz w:val="26"/>
          <w:szCs w:val="26"/>
        </w:rPr>
        <w:t xml:space="preserve">use the violation of </w:t>
      </w:r>
      <w:r w:rsidR="009F2EB5" w:rsidRPr="009F2EB5">
        <w:rPr>
          <w:rFonts w:ascii="Bookman Old Style" w:hAnsi="Bookman Old Style" w:cs="Arial"/>
          <w:color w:val="000000"/>
          <w:sz w:val="26"/>
          <w:szCs w:val="26"/>
        </w:rPr>
        <w:t>an ordinance as evidence of negligence.</w:t>
      </w:r>
      <w:r w:rsidR="009F2EB5">
        <w:rPr>
          <w:rFonts w:ascii="Bookman Old Style" w:hAnsi="Bookman Old Style" w:cs="Arial"/>
          <w:color w:val="000000"/>
          <w:sz w:val="26"/>
          <w:szCs w:val="26"/>
        </w:rPr>
        <w:t>)</w:t>
      </w:r>
      <w:r w:rsidR="00E66AC9">
        <w:rPr>
          <w:rFonts w:ascii="Bookman Old Style" w:hAnsi="Bookman Old Style" w:cs="Arial"/>
          <w:color w:val="000000"/>
          <w:sz w:val="26"/>
          <w:szCs w:val="26"/>
        </w:rPr>
        <w:t xml:space="preserve"> </w:t>
      </w:r>
      <w:r w:rsidR="00563F15">
        <w:rPr>
          <w:rFonts w:ascii="Bookman Old Style" w:hAnsi="Bookman Old Style" w:cs="Arial"/>
          <w:color w:val="000000"/>
          <w:sz w:val="26"/>
          <w:szCs w:val="26"/>
        </w:rPr>
        <w:t xml:space="preserve"> In that event, the court may give this instruction.</w:t>
      </w:r>
      <w:r w:rsidR="00E66AC9">
        <w:rPr>
          <w:rFonts w:ascii="Bookman Old Style" w:hAnsi="Bookman Old Style" w:cs="Arial"/>
          <w:color w:val="000000"/>
          <w:sz w:val="26"/>
          <w:szCs w:val="26"/>
        </w:rPr>
        <w:t xml:space="preserve">  </w:t>
      </w:r>
      <w:r w:rsidR="009D50D8" w:rsidRPr="004B5CF6">
        <w:rPr>
          <w:rFonts w:ascii="Bookman Old Style" w:hAnsi="Bookman Old Style" w:cs="Arial"/>
          <w:i/>
          <w:color w:val="000000"/>
          <w:sz w:val="26"/>
          <w:szCs w:val="26"/>
        </w:rPr>
        <w:t xml:space="preserve">See </w:t>
      </w:r>
      <w:r w:rsidR="00243525" w:rsidRPr="001317F9">
        <w:rPr>
          <w:rFonts w:ascii="Bookman Old Style" w:hAnsi="Bookman Old Style"/>
          <w:i/>
          <w:sz w:val="26"/>
        </w:rPr>
        <w:t>Pagenkopf v. Chatham Electric</w:t>
      </w:r>
      <w:r w:rsidR="00243525">
        <w:rPr>
          <w:rFonts w:ascii="Bookman Old Style" w:hAnsi="Bookman Old Style"/>
          <w:i/>
          <w:sz w:val="26"/>
        </w:rPr>
        <w:t>, Inc.</w:t>
      </w:r>
      <w:r w:rsidR="00243525">
        <w:rPr>
          <w:rFonts w:ascii="Bookman Old Style" w:hAnsi="Bookman Old Style"/>
          <w:sz w:val="26"/>
        </w:rPr>
        <w:t xml:space="preserve">, </w:t>
      </w:r>
      <w:r w:rsidR="00556246">
        <w:rPr>
          <w:rFonts w:ascii="Bookman Old Style" w:hAnsi="Bookman Old Style"/>
          <w:sz w:val="26"/>
        </w:rPr>
        <w:t>165</w:t>
      </w:r>
      <w:r w:rsidR="00243525">
        <w:rPr>
          <w:rFonts w:ascii="Bookman Old Style" w:hAnsi="Bookman Old Style"/>
          <w:sz w:val="26"/>
        </w:rPr>
        <w:t xml:space="preserve"> P.3d </w:t>
      </w:r>
      <w:r w:rsidR="00556246">
        <w:rPr>
          <w:rFonts w:ascii="Bookman Old Style" w:hAnsi="Bookman Old Style"/>
          <w:sz w:val="26"/>
        </w:rPr>
        <w:t>634</w:t>
      </w:r>
      <w:r w:rsidR="00243525">
        <w:rPr>
          <w:rFonts w:ascii="Bookman Old Style" w:hAnsi="Bookman Old Style"/>
          <w:sz w:val="26"/>
        </w:rPr>
        <w:t xml:space="preserve"> (Alaska 2007); </w:t>
      </w:r>
      <w:r w:rsidR="00857499" w:rsidRPr="004B5CF6">
        <w:rPr>
          <w:rFonts w:ascii="Bookman Old Style" w:hAnsi="Bookman Old Style"/>
          <w:i/>
          <w:sz w:val="26"/>
        </w:rPr>
        <w:t>Bachner v. Rich</w:t>
      </w:r>
      <w:r w:rsidR="00857499" w:rsidRPr="004D28AF">
        <w:rPr>
          <w:rFonts w:ascii="Bookman Old Style" w:hAnsi="Bookman Old Style"/>
          <w:sz w:val="26"/>
        </w:rPr>
        <w:t xml:space="preserve">, 554 P.2d 430, </w:t>
      </w:r>
      <w:r w:rsidR="00857499">
        <w:rPr>
          <w:rFonts w:ascii="Bookman Old Style" w:hAnsi="Bookman Old Style"/>
          <w:sz w:val="26"/>
        </w:rPr>
        <w:t>442</w:t>
      </w:r>
      <w:r w:rsidR="00857499" w:rsidRPr="004D28AF">
        <w:rPr>
          <w:rFonts w:ascii="Bookman Old Style" w:hAnsi="Bookman Old Style"/>
          <w:sz w:val="26"/>
        </w:rPr>
        <w:t xml:space="preserve"> (</w:t>
      </w:r>
      <w:smartTag w:uri="urn:schemas-microsoft-com:office:smarttags" w:element="State">
        <w:smartTag w:uri="urn:schemas-microsoft-com:office:smarttags" w:element="place">
          <w:r w:rsidR="00857499" w:rsidRPr="004D28AF">
            <w:rPr>
              <w:rFonts w:ascii="Bookman Old Style" w:hAnsi="Bookman Old Style"/>
              <w:sz w:val="26"/>
            </w:rPr>
            <w:t>Alaska</w:t>
          </w:r>
        </w:smartTag>
      </w:smartTag>
      <w:r w:rsidR="00857499" w:rsidRPr="004D28AF">
        <w:rPr>
          <w:rFonts w:ascii="Bookman Old Style" w:hAnsi="Bookman Old Style"/>
          <w:sz w:val="26"/>
        </w:rPr>
        <w:t xml:space="preserve"> 1976)</w:t>
      </w:r>
      <w:r w:rsidR="00857499">
        <w:rPr>
          <w:rFonts w:ascii="Bookman Old Style" w:hAnsi="Bookman Old Style"/>
          <w:sz w:val="26"/>
        </w:rPr>
        <w:t>.</w:t>
      </w:r>
      <w:r w:rsidR="00E66AC9">
        <w:rPr>
          <w:rFonts w:ascii="Bookman Old Style" w:hAnsi="Bookman Old Style" w:cs="Arial"/>
          <w:color w:val="000000"/>
          <w:sz w:val="26"/>
          <w:szCs w:val="26"/>
        </w:rPr>
        <w:t xml:space="preserve">   </w:t>
      </w:r>
    </w:p>
    <w:sectPr w:rsidR="00A6259A" w:rsidRPr="004B5CF6" w:rsidSect="00A241F8">
      <w:footerReference w:type="default" r:id="rId7"/>
      <w:footerReference w:type="firs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8E" w:rsidRDefault="0043288E">
      <w:r>
        <w:separator/>
      </w:r>
    </w:p>
  </w:endnote>
  <w:endnote w:type="continuationSeparator" w:id="0">
    <w:p w:rsidR="0043288E" w:rsidRDefault="0043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61" w:rsidRPr="00A241F8" w:rsidRDefault="009F79F0" w:rsidP="004B5CF6">
    <w:pPr>
      <w:pStyle w:val="Footer"/>
      <w:tabs>
        <w:tab w:val="clear" w:pos="8640"/>
        <w:tab w:val="right" w:pos="9360"/>
      </w:tabs>
      <w:rPr>
        <w:rFonts w:ascii="Bookman Old Style" w:hAnsi="Bookman Old Style"/>
        <w:sz w:val="24"/>
        <w:szCs w:val="24"/>
      </w:rPr>
    </w:pPr>
    <w:r>
      <w:rPr>
        <w:rFonts w:ascii="Bookman Old Style" w:hAnsi="Bookman Old Style"/>
        <w:sz w:val="24"/>
        <w:szCs w:val="24"/>
      </w:rPr>
      <w:t>2008</w:t>
    </w:r>
    <w:r w:rsidR="00A77761" w:rsidRPr="00A241F8">
      <w:rPr>
        <w:rFonts w:ascii="Bookman Old Style" w:hAnsi="Bookman Old Style"/>
        <w:sz w:val="24"/>
        <w:szCs w:val="24"/>
      </w:rPr>
      <w:tab/>
    </w:r>
    <w:r w:rsidR="00A77761" w:rsidRPr="00A241F8">
      <w:rPr>
        <w:rFonts w:ascii="Bookman Old Style" w:hAnsi="Bookman Old Style"/>
        <w:sz w:val="24"/>
        <w:szCs w:val="24"/>
      </w:rPr>
      <w:tab/>
      <w:t xml:space="preserve">03.04B – </w:t>
    </w:r>
    <w:r w:rsidR="00A77761" w:rsidRPr="00A241F8">
      <w:rPr>
        <w:rStyle w:val="PageNumber"/>
        <w:rFonts w:ascii="Bookman Old Style" w:hAnsi="Bookman Old Style"/>
        <w:sz w:val="24"/>
        <w:szCs w:val="24"/>
      </w:rPr>
      <w:fldChar w:fldCharType="begin"/>
    </w:r>
    <w:r w:rsidR="00A77761" w:rsidRPr="00A241F8">
      <w:rPr>
        <w:rStyle w:val="PageNumber"/>
        <w:rFonts w:ascii="Bookman Old Style" w:hAnsi="Bookman Old Style"/>
        <w:sz w:val="24"/>
        <w:szCs w:val="24"/>
      </w:rPr>
      <w:instrText xml:space="preserve"> PAGE </w:instrText>
    </w:r>
    <w:r w:rsidR="00A77761" w:rsidRPr="00A241F8">
      <w:rPr>
        <w:rStyle w:val="PageNumber"/>
        <w:rFonts w:ascii="Bookman Old Style" w:hAnsi="Bookman Old Style"/>
        <w:sz w:val="24"/>
        <w:szCs w:val="24"/>
      </w:rPr>
      <w:fldChar w:fldCharType="separate"/>
    </w:r>
    <w:r w:rsidR="00BB5E7F">
      <w:rPr>
        <w:rStyle w:val="PageNumber"/>
        <w:rFonts w:ascii="Bookman Old Style" w:hAnsi="Bookman Old Style"/>
        <w:noProof/>
        <w:sz w:val="24"/>
        <w:szCs w:val="24"/>
      </w:rPr>
      <w:t>1</w:t>
    </w:r>
    <w:r w:rsidR="00A77761" w:rsidRPr="00A241F8">
      <w:rPr>
        <w:rStyle w:val="PageNumber"/>
        <w:rFonts w:ascii="Bookman Old Style" w:hAnsi="Bookman Old Style"/>
        <w:sz w:val="24"/>
        <w:szCs w:val="24"/>
      </w:rPr>
      <w:fldChar w:fldCharType="end"/>
    </w:r>
    <w:r w:rsidR="00A77761" w:rsidRPr="00A241F8">
      <w:rPr>
        <w:rStyle w:val="PageNumber"/>
        <w:rFonts w:ascii="Bookman Old Style" w:hAnsi="Bookman Old Style"/>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61" w:rsidRDefault="00A77761">
    <w:pPr>
      <w:pStyle w:val="Footer"/>
      <w:rPr>
        <w:rFonts w:ascii="Bookman Old Style" w:hAnsi="Bookman Old Style"/>
        <w:sz w:val="22"/>
      </w:rPr>
    </w:pPr>
    <w:r>
      <w:rPr>
        <w:rFonts w:ascii="Bookman Old Style" w:hAnsi="Bookman Old Style"/>
        <w:sz w:val="22"/>
      </w:rPr>
      <w:t>REVISED 1988</w:t>
    </w:r>
    <w:r>
      <w:rPr>
        <w:rFonts w:ascii="Bookman Old Style" w:hAnsi="Bookman Old Style"/>
        <w:sz w:val="22"/>
      </w:rPr>
      <w:tab/>
    </w:r>
    <w:r>
      <w:rPr>
        <w:rFonts w:ascii="Bookman Old Style" w:hAnsi="Bookman Old Style"/>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8E" w:rsidRDefault="0043288E">
      <w:r>
        <w:separator/>
      </w:r>
    </w:p>
  </w:footnote>
  <w:footnote w:type="continuationSeparator" w:id="0">
    <w:p w:rsidR="0043288E" w:rsidRDefault="0043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92"/>
    <w:rsid w:val="00005DED"/>
    <w:rsid w:val="00024F86"/>
    <w:rsid w:val="00033414"/>
    <w:rsid w:val="00082B7B"/>
    <w:rsid w:val="00083BCD"/>
    <w:rsid w:val="000C48E0"/>
    <w:rsid w:val="000D4643"/>
    <w:rsid w:val="000D507B"/>
    <w:rsid w:val="00134E6C"/>
    <w:rsid w:val="001576EC"/>
    <w:rsid w:val="001665EA"/>
    <w:rsid w:val="00243525"/>
    <w:rsid w:val="0025008D"/>
    <w:rsid w:val="00271E9A"/>
    <w:rsid w:val="00306598"/>
    <w:rsid w:val="00342C6F"/>
    <w:rsid w:val="00360F69"/>
    <w:rsid w:val="0042464F"/>
    <w:rsid w:val="0043288E"/>
    <w:rsid w:val="004531F9"/>
    <w:rsid w:val="004651D4"/>
    <w:rsid w:val="00483FD4"/>
    <w:rsid w:val="00491DE4"/>
    <w:rsid w:val="004B5CF6"/>
    <w:rsid w:val="005215B8"/>
    <w:rsid w:val="00556246"/>
    <w:rsid w:val="00563F15"/>
    <w:rsid w:val="005838B9"/>
    <w:rsid w:val="00616002"/>
    <w:rsid w:val="006A3A04"/>
    <w:rsid w:val="006B4842"/>
    <w:rsid w:val="006F170B"/>
    <w:rsid w:val="007027EF"/>
    <w:rsid w:val="0071120C"/>
    <w:rsid w:val="00742FAB"/>
    <w:rsid w:val="00744D9B"/>
    <w:rsid w:val="00757C59"/>
    <w:rsid w:val="007A61FF"/>
    <w:rsid w:val="007D4D05"/>
    <w:rsid w:val="00843061"/>
    <w:rsid w:val="0084416B"/>
    <w:rsid w:val="00857499"/>
    <w:rsid w:val="00857965"/>
    <w:rsid w:val="00873FE8"/>
    <w:rsid w:val="00882819"/>
    <w:rsid w:val="00981994"/>
    <w:rsid w:val="009919B5"/>
    <w:rsid w:val="009B471C"/>
    <w:rsid w:val="009D50D8"/>
    <w:rsid w:val="009E3CBF"/>
    <w:rsid w:val="009F2EB5"/>
    <w:rsid w:val="009F79F0"/>
    <w:rsid w:val="00A07E19"/>
    <w:rsid w:val="00A241F8"/>
    <w:rsid w:val="00A31BDB"/>
    <w:rsid w:val="00A6259A"/>
    <w:rsid w:val="00A77761"/>
    <w:rsid w:val="00B0490A"/>
    <w:rsid w:val="00B30984"/>
    <w:rsid w:val="00B90492"/>
    <w:rsid w:val="00BB5E7F"/>
    <w:rsid w:val="00BC6DB9"/>
    <w:rsid w:val="00C066FA"/>
    <w:rsid w:val="00C66989"/>
    <w:rsid w:val="00CA4C25"/>
    <w:rsid w:val="00CB0C65"/>
    <w:rsid w:val="00CD4D45"/>
    <w:rsid w:val="00CF4920"/>
    <w:rsid w:val="00D825DE"/>
    <w:rsid w:val="00D85CCF"/>
    <w:rsid w:val="00DA0E1F"/>
    <w:rsid w:val="00DD4B34"/>
    <w:rsid w:val="00E1545E"/>
    <w:rsid w:val="00E66AC9"/>
    <w:rsid w:val="00EE1E0E"/>
    <w:rsid w:val="00EF73A4"/>
    <w:rsid w:val="00FC54EC"/>
    <w:rsid w:val="00FC7740"/>
    <w:rsid w:val="00FE2977"/>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12">
    <w:name w:val="OmniPage #12"/>
    <w:basedOn w:val="Normal"/>
    <w:pPr>
      <w:spacing w:line="200" w:lineRule="exact"/>
    </w:pPr>
  </w:style>
  <w:style w:type="paragraph" w:customStyle="1" w:styleId="OmniPage15">
    <w:name w:val="OmniPage #15"/>
    <w:basedOn w:val="Normal"/>
    <w:pPr>
      <w:spacing w:line="240" w:lineRule="exact"/>
    </w:pPr>
  </w:style>
  <w:style w:type="paragraph" w:customStyle="1" w:styleId="OmniPage16">
    <w:name w:val="OmniPage #16"/>
    <w:basedOn w:val="Normal"/>
    <w:pPr>
      <w:spacing w:line="48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F2EB5"/>
    <w:rPr>
      <w:rFonts w:ascii="Tahoma" w:hAnsi="Tahoma" w:cs="Tahoma"/>
      <w:sz w:val="16"/>
      <w:szCs w:val="16"/>
    </w:rPr>
  </w:style>
  <w:style w:type="paragraph" w:customStyle="1" w:styleId="OmniPage8">
    <w:name w:val="OmniPage #8"/>
    <w:basedOn w:val="Normal"/>
    <w:rsid w:val="001665EA"/>
    <w:pPr>
      <w:spacing w:line="48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12">
    <w:name w:val="OmniPage #12"/>
    <w:basedOn w:val="Normal"/>
    <w:pPr>
      <w:spacing w:line="200" w:lineRule="exact"/>
    </w:pPr>
  </w:style>
  <w:style w:type="paragraph" w:customStyle="1" w:styleId="OmniPage15">
    <w:name w:val="OmniPage #15"/>
    <w:basedOn w:val="Normal"/>
    <w:pPr>
      <w:spacing w:line="240" w:lineRule="exact"/>
    </w:pPr>
  </w:style>
  <w:style w:type="paragraph" w:customStyle="1" w:styleId="OmniPage16">
    <w:name w:val="OmniPage #16"/>
    <w:basedOn w:val="Normal"/>
    <w:pPr>
      <w:spacing w:line="48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F2EB5"/>
    <w:rPr>
      <w:rFonts w:ascii="Tahoma" w:hAnsi="Tahoma" w:cs="Tahoma"/>
      <w:sz w:val="16"/>
      <w:szCs w:val="16"/>
    </w:rPr>
  </w:style>
  <w:style w:type="paragraph" w:customStyle="1" w:styleId="OmniPage8">
    <w:name w:val="OmniPage #8"/>
    <w:basedOn w:val="Normal"/>
    <w:rsid w:val="001665EA"/>
    <w:pPr>
      <w:spacing w:line="4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vt:lpstr>
    </vt:vector>
  </TitlesOfParts>
  <Company>Alaska Court System</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korzechowski</dc:creator>
  <cp:keywords/>
  <cp:lastModifiedBy>Michael Merrington</cp:lastModifiedBy>
  <cp:revision>3</cp:revision>
  <cp:lastPrinted>2008-07-15T22:58:00Z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1330388639</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