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69" w:rsidRPr="0069674C" w:rsidRDefault="009C7169" w:rsidP="003858A5">
      <w:pPr>
        <w:pStyle w:val="OmniPage2"/>
        <w:tabs>
          <w:tab w:val="left" w:pos="1440"/>
          <w:tab w:val="right" w:pos="3836"/>
        </w:tabs>
        <w:spacing w:line="360" w:lineRule="auto"/>
        <w:jc w:val="both"/>
        <w:rPr>
          <w:rFonts w:ascii="Bookman Old Style" w:hAnsi="Bookman Old Style"/>
          <w:b/>
          <w:bCs/>
          <w:sz w:val="26"/>
        </w:rPr>
      </w:pPr>
      <w:bookmarkStart w:id="0" w:name="_GoBack"/>
      <w:bookmarkEnd w:id="0"/>
      <w:r w:rsidRPr="0069674C">
        <w:rPr>
          <w:rFonts w:ascii="Bookman Old Style" w:hAnsi="Bookman Old Style"/>
          <w:b/>
          <w:bCs/>
          <w:sz w:val="26"/>
        </w:rPr>
        <w:t>03.</w:t>
      </w:r>
      <w:r w:rsidR="003858A5">
        <w:rPr>
          <w:rFonts w:ascii="Bookman Old Style" w:hAnsi="Bookman Old Style"/>
          <w:b/>
          <w:bCs/>
          <w:sz w:val="26"/>
        </w:rPr>
        <w:t>05</w:t>
      </w:r>
      <w:r w:rsidRPr="0069674C">
        <w:rPr>
          <w:rFonts w:ascii="Bookman Old Style" w:hAnsi="Bookman Old Style"/>
          <w:b/>
          <w:bCs/>
          <w:sz w:val="26"/>
        </w:rPr>
        <w:tab/>
      </w:r>
      <w:smartTag w:uri="urn:schemas-microsoft-com:office:smarttags" w:element="stockticker">
        <w:r w:rsidRPr="0069674C">
          <w:rPr>
            <w:rFonts w:ascii="Bookman Old Style" w:hAnsi="Bookman Old Style"/>
            <w:b/>
            <w:bCs/>
            <w:sz w:val="26"/>
          </w:rPr>
          <w:t>RES</w:t>
        </w:r>
      </w:smartTag>
      <w:r w:rsidRPr="0069674C">
        <w:rPr>
          <w:rFonts w:ascii="Bookman Old Style" w:hAnsi="Bookman Old Style"/>
          <w:b/>
          <w:bCs/>
          <w:sz w:val="26"/>
        </w:rPr>
        <w:t xml:space="preserve"> IPSA LOQUITUR</w:t>
      </w:r>
    </w:p>
    <w:p w:rsidR="009C7169" w:rsidRDefault="009C7169" w:rsidP="003858A5">
      <w:pPr>
        <w:pStyle w:val="OmniPage2"/>
        <w:tabs>
          <w:tab w:val="left" w:pos="1440"/>
          <w:tab w:val="right" w:pos="3836"/>
        </w:tabs>
        <w:spacing w:line="360" w:lineRule="auto"/>
        <w:ind w:left="62"/>
        <w:jc w:val="both"/>
        <w:rPr>
          <w:rFonts w:ascii="Bookman Old Style" w:hAnsi="Bookman Old Style"/>
          <w:sz w:val="26"/>
        </w:rPr>
      </w:pPr>
    </w:p>
    <w:p w:rsidR="003953B2" w:rsidRDefault="009C7169" w:rsidP="003858A5">
      <w:pPr>
        <w:pStyle w:val="OmniPage3"/>
        <w:spacing w:line="360" w:lineRule="auto"/>
        <w:ind w:left="50" w:right="154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[The</w:t>
      </w:r>
      <w:r w:rsidR="003953B2">
        <w:rPr>
          <w:rFonts w:ascii="Bookman Old Style" w:hAnsi="Bookman Old Style"/>
          <w:sz w:val="26"/>
        </w:rPr>
        <w:t>re are two ways by which the</w:t>
      </w:r>
      <w:r>
        <w:rPr>
          <w:rFonts w:ascii="Bookman Old Style" w:hAnsi="Bookman Old Style"/>
          <w:sz w:val="26"/>
        </w:rPr>
        <w:t xml:space="preserve"> plaintiff may prove that the defendant was negligent. </w:t>
      </w:r>
      <w:r w:rsidR="0069674C">
        <w:rPr>
          <w:rFonts w:ascii="Bookman Old Style" w:hAnsi="Bookman Old Style"/>
          <w:sz w:val="26"/>
        </w:rPr>
        <w:t xml:space="preserve"> </w:t>
      </w:r>
      <w:r w:rsidR="00323415">
        <w:rPr>
          <w:rFonts w:ascii="Bookman Old Style" w:hAnsi="Bookman Old Style"/>
          <w:sz w:val="26"/>
        </w:rPr>
        <w:t xml:space="preserve">The first way is by using evidence of the defendant’s conduct to prove that </w:t>
      </w:r>
      <w:r w:rsidR="0089600C">
        <w:rPr>
          <w:rFonts w:ascii="Bookman Old Style" w:hAnsi="Bookman Old Style"/>
          <w:sz w:val="26"/>
        </w:rPr>
        <w:t xml:space="preserve">the </w:t>
      </w:r>
      <w:r w:rsidR="00323415">
        <w:rPr>
          <w:rFonts w:ascii="Bookman Old Style" w:hAnsi="Bookman Old Style"/>
          <w:sz w:val="26"/>
        </w:rPr>
        <w:t>defendant did not use reasonable care.</w:t>
      </w:r>
      <w:r w:rsidR="00454DCA">
        <w:rPr>
          <w:rFonts w:ascii="Bookman Old Style" w:hAnsi="Bookman Old Style"/>
          <w:sz w:val="26"/>
        </w:rPr>
        <w:t xml:space="preserve"> </w:t>
      </w:r>
      <w:r w:rsidR="0069674C">
        <w:rPr>
          <w:rFonts w:ascii="Bookman Old Style" w:hAnsi="Bookman Old Style"/>
          <w:sz w:val="26"/>
        </w:rPr>
        <w:t xml:space="preserve"> </w:t>
      </w:r>
      <w:r w:rsidR="00500497">
        <w:rPr>
          <w:rFonts w:ascii="Bookman Old Style" w:hAnsi="Bookman Old Style"/>
          <w:sz w:val="26"/>
        </w:rPr>
        <w:t xml:space="preserve">The second way is </w:t>
      </w:r>
      <w:r>
        <w:rPr>
          <w:rFonts w:ascii="Bookman Old Style" w:hAnsi="Bookman Old Style"/>
          <w:sz w:val="26"/>
        </w:rPr>
        <w:t>by proving circumstances from which it may be inferred that the defendant did not use reasonable care.</w:t>
      </w:r>
      <w:r w:rsidR="00500497">
        <w:rPr>
          <w:rFonts w:ascii="Bookman Old Style" w:hAnsi="Bookman Old Style"/>
          <w:sz w:val="26"/>
        </w:rPr>
        <w:t>]</w:t>
      </w:r>
    </w:p>
    <w:p w:rsidR="001E4DA7" w:rsidRDefault="001E4DA7" w:rsidP="003858A5">
      <w:pPr>
        <w:pStyle w:val="OmniPage3"/>
        <w:spacing w:line="360" w:lineRule="auto"/>
        <w:ind w:left="50" w:right="154"/>
        <w:jc w:val="both"/>
        <w:rPr>
          <w:rFonts w:ascii="Bookman Old Style" w:hAnsi="Bookman Old Style"/>
          <w:sz w:val="26"/>
        </w:rPr>
      </w:pPr>
    </w:p>
    <w:p w:rsidR="003953B2" w:rsidRDefault="00454DCA" w:rsidP="003858A5">
      <w:pPr>
        <w:pStyle w:val="OmniPage3"/>
        <w:spacing w:line="360" w:lineRule="auto"/>
        <w:ind w:left="50" w:right="154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</w:t>
      </w:r>
      <w:r w:rsidR="003953B2">
        <w:rPr>
          <w:rFonts w:ascii="Bookman Old Style" w:hAnsi="Bookman Old Style"/>
          <w:sz w:val="26"/>
        </w:rPr>
        <w:t>The plaintiff may prove that the defendant was negligent by proving circumstances from which it may be inferred that the defendant did not use reasonable care.</w:t>
      </w:r>
      <w:r>
        <w:rPr>
          <w:rFonts w:ascii="Bookman Old Style" w:hAnsi="Bookman Old Style"/>
          <w:sz w:val="26"/>
        </w:rPr>
        <w:t>]</w:t>
      </w:r>
    </w:p>
    <w:p w:rsidR="001E4DA7" w:rsidRDefault="001E4DA7" w:rsidP="003858A5">
      <w:pPr>
        <w:pStyle w:val="OmniPage3"/>
        <w:spacing w:line="360" w:lineRule="auto"/>
        <w:ind w:right="154"/>
        <w:jc w:val="both"/>
        <w:rPr>
          <w:rFonts w:ascii="Bookman Old Style" w:hAnsi="Bookman Old Style"/>
          <w:sz w:val="26"/>
        </w:rPr>
      </w:pPr>
    </w:p>
    <w:p w:rsidR="009C7169" w:rsidRDefault="0008354F" w:rsidP="003858A5">
      <w:pPr>
        <w:pStyle w:val="OmniPage3"/>
        <w:spacing w:line="360" w:lineRule="auto"/>
        <w:ind w:left="50" w:right="154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Y</w:t>
      </w:r>
      <w:r w:rsidR="009C7169">
        <w:rPr>
          <w:rFonts w:ascii="Bookman Old Style" w:hAnsi="Bookman Old Style"/>
          <w:sz w:val="26"/>
        </w:rPr>
        <w:t xml:space="preserve">ou may decide the defendant was negligent </w:t>
      </w:r>
      <w:r w:rsidR="008046F3">
        <w:rPr>
          <w:rFonts w:ascii="Bookman Old Style" w:hAnsi="Bookman Old Style"/>
          <w:sz w:val="26"/>
        </w:rPr>
        <w:t xml:space="preserve">based on </w:t>
      </w:r>
      <w:r w:rsidR="00500497">
        <w:rPr>
          <w:rFonts w:ascii="Bookman Old Style" w:hAnsi="Bookman Old Style"/>
          <w:sz w:val="26"/>
        </w:rPr>
        <w:t xml:space="preserve">the circumstances </w:t>
      </w:r>
      <w:r w:rsidR="009C7169">
        <w:rPr>
          <w:rFonts w:ascii="Bookman Old Style" w:hAnsi="Bookman Old Style"/>
          <w:sz w:val="26"/>
        </w:rPr>
        <w:t>if you find it more likely true than not true that:</w:t>
      </w:r>
    </w:p>
    <w:p w:rsidR="009C7169" w:rsidRDefault="001E4DA7" w:rsidP="003858A5">
      <w:pPr>
        <w:pStyle w:val="OmniPage3"/>
        <w:tabs>
          <w:tab w:val="left" w:pos="720"/>
          <w:tab w:val="left" w:pos="1440"/>
          <w:tab w:val="right" w:pos="9616"/>
        </w:tabs>
        <w:spacing w:line="360" w:lineRule="auto"/>
        <w:ind w:left="720" w:right="50" w:hanging="63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(1)</w:t>
      </w:r>
      <w:r w:rsidR="009C7169">
        <w:rPr>
          <w:rFonts w:ascii="Bookman Old Style" w:hAnsi="Bookman Old Style"/>
          <w:sz w:val="26"/>
        </w:rPr>
        <w:tab/>
        <w:t xml:space="preserve">the event </w:t>
      </w:r>
      <w:r w:rsidR="0008354F">
        <w:rPr>
          <w:rFonts w:ascii="Bookman Old Style" w:hAnsi="Bookman Old Style"/>
          <w:sz w:val="26"/>
        </w:rPr>
        <w:t xml:space="preserve">that caused the harm </w:t>
      </w:r>
      <w:r w:rsidR="009C7169">
        <w:rPr>
          <w:rFonts w:ascii="Bookman Old Style" w:hAnsi="Bookman Old Style"/>
          <w:sz w:val="26"/>
        </w:rPr>
        <w:t>does not ordinarily happen unless someone is negligent;</w:t>
      </w:r>
    </w:p>
    <w:p w:rsidR="001E4DA7" w:rsidRDefault="001E4DA7" w:rsidP="003858A5">
      <w:pPr>
        <w:pStyle w:val="OmniPage3"/>
        <w:tabs>
          <w:tab w:val="left" w:pos="1440"/>
          <w:tab w:val="right" w:pos="9000"/>
        </w:tabs>
        <w:spacing w:line="360" w:lineRule="auto"/>
        <w:ind w:left="1440" w:right="50" w:hanging="720"/>
        <w:jc w:val="both"/>
        <w:rPr>
          <w:rFonts w:ascii="Bookman Old Style" w:hAnsi="Bookman Old Style"/>
          <w:sz w:val="26"/>
        </w:rPr>
      </w:pPr>
    </w:p>
    <w:p w:rsidR="009C7169" w:rsidRDefault="001E4DA7" w:rsidP="003858A5">
      <w:pPr>
        <w:pStyle w:val="OmniPage3"/>
        <w:tabs>
          <w:tab w:val="left" w:pos="720"/>
          <w:tab w:val="left" w:pos="1620"/>
          <w:tab w:val="right" w:pos="9000"/>
        </w:tabs>
        <w:spacing w:line="360" w:lineRule="auto"/>
        <w:ind w:left="714" w:right="50" w:hanging="624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</w:r>
      <w:r w:rsidR="00A20B51">
        <w:rPr>
          <w:rFonts w:ascii="Bookman Old Style" w:hAnsi="Bookman Old Style"/>
          <w:sz w:val="26"/>
        </w:rPr>
        <w:t xml:space="preserve">the </w:t>
      </w:r>
      <w:r w:rsidR="00375914">
        <w:rPr>
          <w:rFonts w:ascii="Bookman Old Style" w:hAnsi="Bookman Old Style"/>
          <w:sz w:val="26"/>
        </w:rPr>
        <w:t xml:space="preserve">harmful </w:t>
      </w:r>
      <w:r w:rsidR="00A20B51">
        <w:rPr>
          <w:rFonts w:ascii="Bookman Old Style" w:hAnsi="Bookman Old Style"/>
          <w:sz w:val="26"/>
        </w:rPr>
        <w:t>event was caused by something that was under the defendant’s exclusive control; and</w:t>
      </w:r>
    </w:p>
    <w:p w:rsidR="001E4DA7" w:rsidRDefault="001E4DA7" w:rsidP="003858A5">
      <w:pPr>
        <w:pStyle w:val="OmniPage3"/>
        <w:tabs>
          <w:tab w:val="left" w:pos="720"/>
          <w:tab w:val="left" w:pos="1620"/>
          <w:tab w:val="right" w:pos="9000"/>
        </w:tabs>
        <w:spacing w:line="360" w:lineRule="auto"/>
        <w:ind w:left="714" w:right="50" w:hanging="624"/>
        <w:jc w:val="both"/>
        <w:rPr>
          <w:rFonts w:ascii="Bookman Old Style" w:hAnsi="Bookman Old Style"/>
          <w:sz w:val="26"/>
        </w:rPr>
      </w:pPr>
    </w:p>
    <w:p w:rsidR="009C7169" w:rsidRDefault="001E4DA7" w:rsidP="003858A5">
      <w:pPr>
        <w:pStyle w:val="OmniPage3"/>
        <w:tabs>
          <w:tab w:val="left" w:pos="720"/>
          <w:tab w:val="right" w:pos="9616"/>
        </w:tabs>
        <w:spacing w:line="360" w:lineRule="auto"/>
        <w:ind w:left="90" w:right="5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 w:rsidR="009C7169">
        <w:rPr>
          <w:rFonts w:ascii="Bookman Old Style" w:hAnsi="Bookman Old Style"/>
          <w:sz w:val="26"/>
        </w:rPr>
        <w:tab/>
        <w:t xml:space="preserve">the plaintiff in no way contributed to or caused the </w:t>
      </w:r>
      <w:r w:rsidR="008046F3">
        <w:rPr>
          <w:rFonts w:ascii="Bookman Old Style" w:hAnsi="Bookman Old Style"/>
          <w:sz w:val="26"/>
        </w:rPr>
        <w:t xml:space="preserve">harmful </w:t>
      </w:r>
      <w:r w:rsidR="009C7169">
        <w:rPr>
          <w:rFonts w:ascii="Bookman Old Style" w:hAnsi="Bookman Old Style"/>
          <w:sz w:val="26"/>
        </w:rPr>
        <w:t>event.</w:t>
      </w:r>
    </w:p>
    <w:p w:rsidR="009C7169" w:rsidRDefault="009C7169" w:rsidP="003858A5">
      <w:pPr>
        <w:pStyle w:val="OmniPage3"/>
        <w:tabs>
          <w:tab w:val="left" w:pos="1516"/>
          <w:tab w:val="right" w:pos="9616"/>
        </w:tabs>
        <w:spacing w:line="360" w:lineRule="auto"/>
        <w:ind w:left="789" w:right="50"/>
        <w:jc w:val="both"/>
        <w:rPr>
          <w:rFonts w:ascii="Bookman Old Style" w:hAnsi="Bookman Old Style"/>
          <w:sz w:val="26"/>
        </w:rPr>
      </w:pPr>
    </w:p>
    <w:p w:rsidR="001E4DA7" w:rsidRDefault="005C6D59" w:rsidP="003858A5">
      <w:pPr>
        <w:pStyle w:val="OmniPage3"/>
        <w:spacing w:line="360" w:lineRule="auto"/>
        <w:ind w:left="67" w:right="149" w:firstLine="23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Y</w:t>
      </w:r>
      <w:r w:rsidR="009C7169">
        <w:rPr>
          <w:rFonts w:ascii="Bookman Old Style" w:hAnsi="Bookman Old Style"/>
          <w:sz w:val="26"/>
        </w:rPr>
        <w:t>ou</w:t>
      </w:r>
      <w:r w:rsidR="00323415">
        <w:rPr>
          <w:rFonts w:ascii="Bookman Old Style" w:hAnsi="Bookman Old Style"/>
          <w:sz w:val="26"/>
        </w:rPr>
        <w:t xml:space="preserve"> may, but you are</w:t>
      </w:r>
      <w:r w:rsidR="009C716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not required to</w:t>
      </w:r>
      <w:r w:rsidR="00323415">
        <w:rPr>
          <w:rFonts w:ascii="Bookman Old Style" w:hAnsi="Bookman Old Style"/>
          <w:sz w:val="26"/>
        </w:rPr>
        <w:t>,</w:t>
      </w:r>
      <w:r>
        <w:rPr>
          <w:rFonts w:ascii="Bookman Old Style" w:hAnsi="Bookman Old Style"/>
          <w:sz w:val="26"/>
        </w:rPr>
        <w:t xml:space="preserve"> find the defendant was negligent if you find it </w:t>
      </w:r>
      <w:r w:rsidR="009C7169">
        <w:rPr>
          <w:rFonts w:ascii="Bookman Old Style" w:hAnsi="Bookman Old Style"/>
          <w:sz w:val="26"/>
        </w:rPr>
        <w:t xml:space="preserve">more likely </w:t>
      </w:r>
      <w:r w:rsidR="00323415">
        <w:rPr>
          <w:rFonts w:ascii="Bookman Old Style" w:hAnsi="Bookman Old Style"/>
          <w:sz w:val="26"/>
        </w:rPr>
        <w:t xml:space="preserve">true </w:t>
      </w:r>
      <w:r w:rsidR="009C7169">
        <w:rPr>
          <w:rFonts w:ascii="Bookman Old Style" w:hAnsi="Bookman Old Style"/>
          <w:sz w:val="26"/>
        </w:rPr>
        <w:t xml:space="preserve">than not </w:t>
      </w:r>
      <w:r w:rsidR="0089600C">
        <w:rPr>
          <w:rFonts w:ascii="Bookman Old Style" w:hAnsi="Bookman Old Style"/>
          <w:sz w:val="26"/>
        </w:rPr>
        <w:t xml:space="preserve">true </w:t>
      </w:r>
      <w:r>
        <w:rPr>
          <w:rFonts w:ascii="Bookman Old Style" w:hAnsi="Bookman Old Style"/>
          <w:sz w:val="26"/>
        </w:rPr>
        <w:t xml:space="preserve">that all three </w:t>
      </w:r>
      <w:r w:rsidR="008046F3">
        <w:rPr>
          <w:rFonts w:ascii="Bookman Old Style" w:hAnsi="Bookman Old Style"/>
          <w:sz w:val="26"/>
        </w:rPr>
        <w:t>conditions are met.</w:t>
      </w:r>
      <w:r w:rsidR="00B27125">
        <w:rPr>
          <w:rFonts w:ascii="Bookman Old Style" w:hAnsi="Bookman Old Style"/>
          <w:sz w:val="26"/>
        </w:rPr>
        <w:t xml:space="preserve"> The mere fact that harm occurred does not mean that someone was negligent.</w:t>
      </w:r>
    </w:p>
    <w:p w:rsidR="009C7169" w:rsidRDefault="00500497" w:rsidP="003858A5">
      <w:pPr>
        <w:pStyle w:val="OmniPage3"/>
        <w:spacing w:line="360" w:lineRule="auto"/>
        <w:ind w:left="67" w:right="149" w:firstLine="23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</w:t>
      </w:r>
    </w:p>
    <w:p w:rsidR="009C7169" w:rsidRDefault="0069674C" w:rsidP="003858A5">
      <w:pPr>
        <w:pStyle w:val="OmniPage4"/>
        <w:spacing w:line="240" w:lineRule="auto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Direction</w:t>
      </w:r>
      <w:r w:rsidR="00727C60">
        <w:rPr>
          <w:rFonts w:ascii="Bookman Old Style" w:hAnsi="Bookman Old Style"/>
          <w:sz w:val="26"/>
          <w:u w:val="single"/>
        </w:rPr>
        <w:t>s</w:t>
      </w:r>
      <w:r>
        <w:rPr>
          <w:rFonts w:ascii="Bookman Old Style" w:hAnsi="Bookman Old Style"/>
          <w:sz w:val="26"/>
          <w:u w:val="single"/>
        </w:rPr>
        <w:t xml:space="preserve"> for Use</w:t>
      </w:r>
    </w:p>
    <w:p w:rsidR="009C7169" w:rsidRDefault="009C7169" w:rsidP="003858A5">
      <w:pPr>
        <w:jc w:val="both"/>
        <w:rPr>
          <w:rFonts w:ascii="Bookman Old Style" w:hAnsi="Bookman Old Style"/>
          <w:sz w:val="26"/>
        </w:rPr>
      </w:pPr>
    </w:p>
    <w:p w:rsidR="009C7169" w:rsidRPr="00F00FB2" w:rsidRDefault="00774360" w:rsidP="003858A5">
      <w:pPr>
        <w:pStyle w:val="OmniPage4"/>
        <w:spacing w:line="240" w:lineRule="auto"/>
        <w:ind w:left="63" w:right="141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</w:rPr>
        <w:t xml:space="preserve">When </w:t>
      </w:r>
      <w:r w:rsidRPr="00522A89">
        <w:rPr>
          <w:rFonts w:ascii="Bookman Old Style" w:hAnsi="Bookman Old Style"/>
          <w:i/>
          <w:sz w:val="26"/>
        </w:rPr>
        <w:t>res ipsa loquitur</w:t>
      </w:r>
      <w:r w:rsidR="00522A8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 xml:space="preserve">is an issue, this instruction should be used immediately after Instruction 03.03A </w:t>
      </w:r>
      <w:r w:rsidR="00527DF7">
        <w:rPr>
          <w:rFonts w:ascii="Bookman Old Style" w:hAnsi="Bookman Old Style"/>
          <w:sz w:val="26"/>
        </w:rPr>
        <w:t>(Negli</w:t>
      </w:r>
      <w:r>
        <w:rPr>
          <w:rFonts w:ascii="Bookman Old Style" w:hAnsi="Bookman Old Style"/>
          <w:sz w:val="26"/>
        </w:rPr>
        <w:t>gence Defined –</w:t>
      </w:r>
      <w:r w:rsidR="00527DF7">
        <w:rPr>
          <w:rFonts w:ascii="Bookman Old Style" w:hAnsi="Bookman Old Style"/>
          <w:sz w:val="26"/>
        </w:rPr>
        <w:t xml:space="preserve"> Adult)</w:t>
      </w:r>
      <w:r>
        <w:rPr>
          <w:rFonts w:ascii="Bookman Old Style" w:hAnsi="Bookman Old Style"/>
          <w:sz w:val="26"/>
        </w:rPr>
        <w:t xml:space="preserve"> and befor</w:t>
      </w:r>
      <w:r w:rsidR="001E4DA7">
        <w:rPr>
          <w:rFonts w:ascii="Bookman Old Style" w:hAnsi="Bookman Old Style"/>
          <w:sz w:val="26"/>
        </w:rPr>
        <w:t xml:space="preserve">e </w:t>
      </w:r>
      <w:r w:rsidR="00527DF7">
        <w:rPr>
          <w:rFonts w:ascii="Bookman Old Style" w:hAnsi="Bookman Old Style"/>
          <w:sz w:val="26"/>
        </w:rPr>
        <w:t>Instruction 3.0</w:t>
      </w:r>
      <w:r w:rsidR="0069674C">
        <w:rPr>
          <w:rFonts w:ascii="Bookman Old Style" w:hAnsi="Bookman Old Style"/>
          <w:sz w:val="26"/>
        </w:rPr>
        <w:t>7</w:t>
      </w:r>
      <w:r w:rsidR="00527DF7">
        <w:rPr>
          <w:rFonts w:ascii="Bookman Old Style" w:hAnsi="Bookman Old Style"/>
          <w:sz w:val="26"/>
        </w:rPr>
        <w:t xml:space="preserve"> (Substantial Factor)</w:t>
      </w:r>
      <w:r w:rsidR="001E4DA7">
        <w:rPr>
          <w:rFonts w:ascii="Bookman Old Style" w:hAnsi="Bookman Old Style"/>
          <w:sz w:val="26"/>
        </w:rPr>
        <w:t>, the instruction on causation</w:t>
      </w:r>
      <w:r>
        <w:rPr>
          <w:rFonts w:ascii="Bookman Old Style" w:hAnsi="Bookman Old Style"/>
          <w:sz w:val="26"/>
        </w:rPr>
        <w:t xml:space="preserve">. </w:t>
      </w:r>
      <w:r w:rsidR="00F00FB2" w:rsidRPr="00F00FB2">
        <w:rPr>
          <w:rFonts w:ascii="Bookman Old Style" w:hAnsi="Bookman Old Style"/>
          <w:sz w:val="26"/>
          <w:szCs w:val="26"/>
        </w:rPr>
        <w:t xml:space="preserve">The bracketed first paragraph should be given when the plaintiff relies on specific acts of alleged negligence in addition to </w:t>
      </w:r>
      <w:r w:rsidR="00F00FB2" w:rsidRPr="00522A89">
        <w:rPr>
          <w:rFonts w:ascii="Bookman Old Style" w:hAnsi="Bookman Old Style"/>
          <w:i/>
          <w:sz w:val="26"/>
          <w:szCs w:val="26"/>
        </w:rPr>
        <w:t>res ipsa loquitur</w:t>
      </w:r>
      <w:r w:rsidR="00F00FB2" w:rsidRPr="00F00FB2">
        <w:rPr>
          <w:rFonts w:ascii="Bookman Old Style" w:hAnsi="Bookman Old Style"/>
          <w:sz w:val="26"/>
          <w:szCs w:val="26"/>
        </w:rPr>
        <w:t>.</w:t>
      </w:r>
      <w:r w:rsidR="008D1302">
        <w:rPr>
          <w:rFonts w:ascii="Bookman Old Style" w:hAnsi="Bookman Old Style"/>
          <w:sz w:val="26"/>
          <w:szCs w:val="26"/>
        </w:rPr>
        <w:t xml:space="preserve"> The bracketed second paragraph should be used in all other cases involving </w:t>
      </w:r>
      <w:r w:rsidR="008D1302" w:rsidRPr="00522A89">
        <w:rPr>
          <w:rFonts w:ascii="Bookman Old Style" w:hAnsi="Bookman Old Style"/>
          <w:i/>
          <w:sz w:val="26"/>
          <w:szCs w:val="26"/>
        </w:rPr>
        <w:t>res ipsa loquitur</w:t>
      </w:r>
      <w:r w:rsidR="008D1302">
        <w:rPr>
          <w:rFonts w:ascii="Bookman Old Style" w:hAnsi="Bookman Old Style"/>
          <w:sz w:val="26"/>
          <w:szCs w:val="26"/>
        </w:rPr>
        <w:t>.</w:t>
      </w:r>
    </w:p>
    <w:p w:rsidR="008D1302" w:rsidRPr="00F00FB2" w:rsidRDefault="009C7169" w:rsidP="003858A5">
      <w:pPr>
        <w:jc w:val="both"/>
        <w:rPr>
          <w:rFonts w:ascii="Bookman Old Style" w:hAnsi="Bookman Old Style"/>
          <w:sz w:val="26"/>
          <w:szCs w:val="26"/>
        </w:rPr>
      </w:pPr>
      <w:r w:rsidRPr="00F00FB2">
        <w:rPr>
          <w:rFonts w:ascii="Bookman Old Style" w:hAnsi="Bookman Old Style"/>
          <w:sz w:val="26"/>
          <w:szCs w:val="26"/>
        </w:rPr>
        <w:tab/>
      </w:r>
    </w:p>
    <w:p w:rsidR="009C7169" w:rsidRDefault="00774360" w:rsidP="003858A5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There may be instances where the court may decide as a matter of law that one or more of the </w:t>
      </w:r>
      <w:r w:rsidRPr="00522A89">
        <w:rPr>
          <w:rFonts w:ascii="Bookman Old Style" w:hAnsi="Bookman Old Style"/>
          <w:i/>
          <w:sz w:val="26"/>
        </w:rPr>
        <w:t>res ipsa</w:t>
      </w:r>
      <w:r w:rsidRPr="00522A8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elements exists.  In such a case it may be appropriate to follow the listing of the elements with an instruction to that effect.</w:t>
      </w:r>
    </w:p>
    <w:p w:rsidR="001E4DA7" w:rsidRDefault="001E4DA7" w:rsidP="003858A5">
      <w:pPr>
        <w:jc w:val="both"/>
        <w:rPr>
          <w:rFonts w:ascii="Bookman Old Style" w:hAnsi="Bookman Old Style"/>
          <w:sz w:val="26"/>
        </w:rPr>
      </w:pPr>
    </w:p>
    <w:p w:rsidR="009C7169" w:rsidRDefault="009C7169" w:rsidP="003858A5">
      <w:pPr>
        <w:pStyle w:val="Heading1"/>
      </w:pPr>
      <w:r>
        <w:t>Comment</w:t>
      </w:r>
    </w:p>
    <w:p w:rsidR="009C7169" w:rsidRDefault="009C7169" w:rsidP="003858A5">
      <w:pPr>
        <w:jc w:val="both"/>
        <w:rPr>
          <w:rFonts w:ascii="Bookman Old Style" w:hAnsi="Bookman Old Style"/>
          <w:sz w:val="26"/>
        </w:rPr>
      </w:pPr>
    </w:p>
    <w:p w:rsidR="002D5DF8" w:rsidRDefault="006B53FC" w:rsidP="003858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The </w:t>
      </w:r>
      <w:r w:rsidRPr="00B53A30">
        <w:rPr>
          <w:rFonts w:ascii="Bookman Old Style" w:hAnsi="Bookman Old Style"/>
          <w:color w:val="000000"/>
          <w:sz w:val="26"/>
          <w:szCs w:val="26"/>
        </w:rPr>
        <w:t xml:space="preserve">doctrine of </w:t>
      </w:r>
      <w:r w:rsidRPr="00430E09">
        <w:rPr>
          <w:rFonts w:ascii="Bookman Old Style" w:hAnsi="Bookman Old Style"/>
          <w:bCs/>
          <w:i/>
          <w:iCs/>
          <w:color w:val="000000"/>
          <w:sz w:val="26"/>
          <w:szCs w:val="26"/>
        </w:rPr>
        <w:t>res</w:t>
      </w:r>
      <w:r w:rsidRPr="00430E09">
        <w:rPr>
          <w:rFonts w:ascii="Bookman Old Style" w:hAnsi="Bookman Old Style"/>
          <w:i/>
          <w:iCs/>
          <w:color w:val="000000"/>
          <w:sz w:val="26"/>
          <w:szCs w:val="26"/>
        </w:rPr>
        <w:t xml:space="preserve"> </w:t>
      </w:r>
      <w:r w:rsidRPr="00430E09">
        <w:rPr>
          <w:rFonts w:ascii="Bookman Old Style" w:hAnsi="Bookman Old Style"/>
          <w:bCs/>
          <w:i/>
          <w:iCs/>
          <w:color w:val="000000"/>
          <w:sz w:val="26"/>
          <w:szCs w:val="26"/>
        </w:rPr>
        <w:t>ipsa</w:t>
      </w:r>
      <w:r w:rsidRPr="00B53A30">
        <w:rPr>
          <w:rFonts w:ascii="Bookman Old Style" w:hAnsi="Bookman Old Style"/>
          <w:i/>
          <w:iCs/>
          <w:color w:val="000000"/>
          <w:sz w:val="26"/>
          <w:szCs w:val="26"/>
        </w:rPr>
        <w:t xml:space="preserve"> loquitur</w:t>
      </w:r>
      <w:r w:rsidRPr="00B53A30">
        <w:rPr>
          <w:rFonts w:ascii="Bookman Old Style" w:hAnsi="Bookman Old Style"/>
          <w:color w:val="000000"/>
          <w:sz w:val="26"/>
          <w:szCs w:val="26"/>
        </w:rPr>
        <w:t xml:space="preserve"> permits</w:t>
      </w:r>
      <w:r w:rsidR="002D5DF8">
        <w:rPr>
          <w:rFonts w:ascii="Bookman Old Style" w:hAnsi="Bookman Old Style"/>
          <w:color w:val="000000"/>
          <w:sz w:val="26"/>
          <w:szCs w:val="26"/>
        </w:rPr>
        <w:t xml:space="preserve"> the finder of fact to infer negligence from the </w:t>
      </w:r>
      <w:r w:rsidRPr="00B53A30">
        <w:rPr>
          <w:rFonts w:ascii="Bookman Old Style" w:hAnsi="Bookman Old Style"/>
          <w:color w:val="000000"/>
          <w:sz w:val="26"/>
          <w:szCs w:val="26"/>
        </w:rPr>
        <w:t xml:space="preserve">circumstances of an injury. </w:t>
      </w:r>
      <w:r w:rsidR="002D5DF8" w:rsidRPr="00522A89">
        <w:rPr>
          <w:rFonts w:ascii="Bookman Old Style" w:hAnsi="Bookman Old Style"/>
          <w:i/>
          <w:color w:val="000000"/>
          <w:sz w:val="26"/>
          <w:szCs w:val="26"/>
        </w:rPr>
        <w:t>E.g.,</w:t>
      </w:r>
      <w:r w:rsidR="00522A89">
        <w:rPr>
          <w:rFonts w:ascii="Bookman Old Style" w:hAnsi="Bookman Old Style"/>
          <w:color w:val="000000"/>
          <w:sz w:val="26"/>
          <w:szCs w:val="26"/>
        </w:rPr>
        <w:t xml:space="preserve"> </w:t>
      </w:r>
      <w:hyperlink r:id="rId7" w:history="1">
        <w:r w:rsidR="002D5DF8" w:rsidRPr="00522A89">
          <w:rPr>
            <w:rFonts w:ascii="Bookman Old Style" w:hAnsi="Bookman Old Style"/>
            <w:i/>
            <w:iCs/>
            <w:color w:val="000000"/>
            <w:sz w:val="26"/>
            <w:szCs w:val="26"/>
          </w:rPr>
          <w:t>Widmyer v. Southeast Skyways, Inc.,</w:t>
        </w:r>
      </w:hyperlink>
      <w:hyperlink r:id="rId8" w:history="1">
        <w:r w:rsidR="002D5DF8" w:rsidRPr="00522A89">
          <w:rPr>
            <w:rFonts w:ascii="Bookman Old Style" w:hAnsi="Bookman Old Style"/>
            <w:color w:val="000000"/>
            <w:sz w:val="26"/>
            <w:szCs w:val="26"/>
          </w:rPr>
          <w:t xml:space="preserve"> 584 P.2d 1, 10 (Alaska 1978)</w:t>
        </w:r>
      </w:hyperlink>
      <w:r w:rsidR="002D5DF8" w:rsidRPr="00B53A30">
        <w:rPr>
          <w:rFonts w:ascii="Bookman Old Style" w:hAnsi="Bookman Old Style"/>
          <w:color w:val="000000"/>
          <w:sz w:val="26"/>
          <w:szCs w:val="26"/>
        </w:rPr>
        <w:t>.</w:t>
      </w:r>
      <w:r w:rsidR="002D5DF8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Pr="00B53A30">
        <w:rPr>
          <w:rFonts w:ascii="Bookman Old Style" w:hAnsi="Bookman Old Style"/>
          <w:color w:val="000000"/>
          <w:sz w:val="26"/>
          <w:szCs w:val="26"/>
        </w:rPr>
        <w:t xml:space="preserve">The doctrine </w:t>
      </w:r>
      <w:r w:rsidR="00DC2D78">
        <w:rPr>
          <w:rFonts w:ascii="Bookman Old Style" w:hAnsi="Bookman Old Style"/>
          <w:color w:val="000000"/>
          <w:sz w:val="26"/>
          <w:szCs w:val="26"/>
        </w:rPr>
        <w:t>“</w:t>
      </w:r>
      <w:r w:rsidRPr="00B53A30">
        <w:rPr>
          <w:rFonts w:ascii="Bookman Old Style" w:hAnsi="Bookman Old Style"/>
          <w:color w:val="000000"/>
          <w:sz w:val="26"/>
          <w:szCs w:val="26"/>
        </w:rPr>
        <w:t xml:space="preserve">is a bridge, dispensing with the requirement that a plaintiff specifically prove breach of duty, once that duty and proximate cause have been established.”  </w:t>
      </w:r>
      <w:r w:rsidR="002D5DF8" w:rsidRPr="002D5DF8">
        <w:rPr>
          <w:rFonts w:ascii="Bookman Old Style" w:hAnsi="Bookman Old Style"/>
          <w:i/>
          <w:color w:val="000000"/>
          <w:sz w:val="26"/>
          <w:szCs w:val="26"/>
        </w:rPr>
        <w:t>Falconer v. Adams</w:t>
      </w:r>
      <w:r w:rsidR="002D5DF8" w:rsidRPr="002D5DF8">
        <w:rPr>
          <w:rFonts w:ascii="Bookman Old Style" w:hAnsi="Bookman Old Style"/>
          <w:color w:val="000000"/>
          <w:sz w:val="26"/>
          <w:szCs w:val="26"/>
        </w:rPr>
        <w:t>, 974 P.2d 406, 414 n.12 (</w:t>
      </w:r>
      <w:smartTag w:uri="urn:schemas-microsoft-com:office:smarttags" w:element="State">
        <w:smartTag w:uri="urn:schemas-microsoft-com:office:smarttags" w:element="place">
          <w:r w:rsidR="002D5DF8" w:rsidRPr="002D5DF8">
            <w:rPr>
              <w:rFonts w:ascii="Bookman Old Style" w:hAnsi="Bookman Old Style"/>
              <w:color w:val="000000"/>
              <w:sz w:val="26"/>
              <w:szCs w:val="26"/>
            </w:rPr>
            <w:t>Alaska</w:t>
          </w:r>
        </w:smartTag>
      </w:smartTag>
      <w:r w:rsidR="002D5DF8" w:rsidRPr="002D5DF8">
        <w:rPr>
          <w:rFonts w:ascii="Bookman Old Style" w:hAnsi="Bookman Old Style"/>
          <w:color w:val="000000"/>
          <w:sz w:val="26"/>
          <w:szCs w:val="26"/>
        </w:rPr>
        <w:t xml:space="preserve"> 1999).</w:t>
      </w:r>
      <w:r w:rsidR="002D5DF8">
        <w:rPr>
          <w:rFonts w:ascii="Bookman Old Style" w:hAnsi="Bookman Old Style"/>
          <w:color w:val="000000"/>
          <w:sz w:val="26"/>
          <w:szCs w:val="26"/>
        </w:rPr>
        <w:t xml:space="preserve">  </w:t>
      </w:r>
      <w:r w:rsidR="00430E09">
        <w:rPr>
          <w:rFonts w:ascii="Bookman Old Style" w:hAnsi="Bookman Old Style"/>
          <w:color w:val="000000"/>
          <w:sz w:val="26"/>
          <w:szCs w:val="26"/>
        </w:rPr>
        <w:t xml:space="preserve">  </w:t>
      </w:r>
    </w:p>
    <w:p w:rsidR="002D5DF8" w:rsidRDefault="002D5DF8" w:rsidP="003858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30E09" w:rsidRDefault="00430E09" w:rsidP="003858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Th</w:t>
      </w:r>
      <w:r w:rsidR="00C03012">
        <w:rPr>
          <w:rFonts w:ascii="Bookman Old Style" w:hAnsi="Bookman Old Style"/>
          <w:color w:val="000000"/>
          <w:sz w:val="26"/>
          <w:szCs w:val="26"/>
        </w:rPr>
        <w:t xml:space="preserve">e </w:t>
      </w:r>
      <w:r w:rsidR="00E93642">
        <w:rPr>
          <w:rFonts w:ascii="Bookman Old Style" w:hAnsi="Bookman Old Style"/>
          <w:color w:val="000000"/>
          <w:sz w:val="26"/>
          <w:szCs w:val="26"/>
        </w:rPr>
        <w:t xml:space="preserve">instruction sets out the elements </w:t>
      </w:r>
      <w:r w:rsidR="00F00FB2">
        <w:rPr>
          <w:rFonts w:ascii="Bookman Old Style" w:hAnsi="Bookman Old Style"/>
          <w:color w:val="000000"/>
          <w:sz w:val="26"/>
          <w:szCs w:val="26"/>
        </w:rPr>
        <w:t xml:space="preserve">required to invoke </w:t>
      </w:r>
      <w:r w:rsidR="00C03012" w:rsidRPr="003C4AB1">
        <w:rPr>
          <w:rFonts w:ascii="Bookman Old Style" w:hAnsi="Bookman Old Style"/>
          <w:i/>
          <w:iCs/>
          <w:color w:val="000000"/>
          <w:sz w:val="26"/>
          <w:szCs w:val="26"/>
        </w:rPr>
        <w:t xml:space="preserve">res ipsa loquitur </w:t>
      </w:r>
      <w:r w:rsidR="00E93642">
        <w:rPr>
          <w:rFonts w:ascii="Bookman Old Style" w:hAnsi="Bookman Old Style"/>
          <w:color w:val="000000"/>
          <w:sz w:val="26"/>
          <w:szCs w:val="26"/>
        </w:rPr>
        <w:t xml:space="preserve">as stated in decisions of the Alaska Supreme Court.  </w:t>
      </w:r>
      <w:r w:rsidR="00E93642" w:rsidRPr="00522A89">
        <w:rPr>
          <w:rFonts w:ascii="Bookman Old Style" w:hAnsi="Bookman Old Style"/>
          <w:i/>
          <w:color w:val="000000"/>
          <w:sz w:val="26"/>
          <w:szCs w:val="26"/>
        </w:rPr>
        <w:t>E.g.,</w:t>
      </w:r>
      <w:r w:rsidR="00E93642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E93642" w:rsidRPr="00B53A30">
        <w:rPr>
          <w:rFonts w:ascii="Bookman Old Style" w:hAnsi="Bookman Old Style"/>
          <w:i/>
          <w:color w:val="000000"/>
          <w:sz w:val="26"/>
          <w:szCs w:val="26"/>
        </w:rPr>
        <w:t xml:space="preserve">State Farm Fire &amp; Cas. </w:t>
      </w:r>
      <w:smartTag w:uri="urn:schemas-microsoft-com:office:smarttags" w:element="place">
        <w:r w:rsidR="00E93642" w:rsidRPr="00B53A30">
          <w:rPr>
            <w:rFonts w:ascii="Bookman Old Style" w:hAnsi="Bookman Old Style"/>
            <w:i/>
            <w:color w:val="000000"/>
            <w:sz w:val="26"/>
            <w:szCs w:val="26"/>
          </w:rPr>
          <w:t>Co.</w:t>
        </w:r>
      </w:smartTag>
      <w:r w:rsidR="00E93642" w:rsidRPr="00B53A30">
        <w:rPr>
          <w:rFonts w:ascii="Bookman Old Style" w:hAnsi="Bookman Old Style"/>
          <w:i/>
          <w:color w:val="000000"/>
          <w:sz w:val="26"/>
          <w:szCs w:val="26"/>
        </w:rPr>
        <w:t xml:space="preserve"> v. </w:t>
      </w:r>
      <w:smartTag w:uri="urn:schemas-microsoft-com:office:smarttags" w:element="place">
        <w:smartTag w:uri="urn:schemas-microsoft-com:office:smarttags" w:element="PlaceType">
          <w:r w:rsidR="00E93642" w:rsidRPr="00B53A30">
            <w:rPr>
              <w:rFonts w:ascii="Bookman Old Style" w:hAnsi="Bookman Old Style"/>
              <w:i/>
              <w:color w:val="000000"/>
              <w:sz w:val="26"/>
              <w:szCs w:val="26"/>
            </w:rPr>
            <w:t>Municipality</w:t>
          </w:r>
        </w:smartTag>
        <w:r w:rsidR="00E93642" w:rsidRPr="00B53A30">
          <w:rPr>
            <w:rFonts w:ascii="Bookman Old Style" w:hAnsi="Bookman Old Style"/>
            <w:i/>
            <w:color w:val="000000"/>
            <w:sz w:val="26"/>
            <w:szCs w:val="26"/>
          </w:rPr>
          <w:t xml:space="preserve"> of </w:t>
        </w:r>
        <w:smartTag w:uri="urn:schemas-microsoft-com:office:smarttags" w:element="PlaceName">
          <w:r w:rsidR="00E93642" w:rsidRPr="00B53A30">
            <w:rPr>
              <w:rFonts w:ascii="Bookman Old Style" w:hAnsi="Bookman Old Style"/>
              <w:i/>
              <w:color w:val="000000"/>
              <w:sz w:val="26"/>
              <w:szCs w:val="26"/>
            </w:rPr>
            <w:t>Anchorage</w:t>
          </w:r>
        </w:smartTag>
      </w:smartTag>
      <w:r w:rsidR="00E93642" w:rsidRPr="00B53A30">
        <w:rPr>
          <w:rFonts w:ascii="Bookman Old Style" w:hAnsi="Bookman Old Style"/>
          <w:color w:val="000000"/>
          <w:sz w:val="26"/>
          <w:szCs w:val="26"/>
        </w:rPr>
        <w:t>, 788 P.2d 726, 730 (</w:t>
      </w:r>
      <w:smartTag w:uri="urn:schemas-microsoft-com:office:smarttags" w:element="State">
        <w:smartTag w:uri="urn:schemas-microsoft-com:office:smarttags" w:element="place">
          <w:r w:rsidR="00E93642" w:rsidRPr="00B53A30">
            <w:rPr>
              <w:rFonts w:ascii="Bookman Old Style" w:hAnsi="Bookman Old Style"/>
              <w:color w:val="000000"/>
              <w:sz w:val="26"/>
              <w:szCs w:val="26"/>
            </w:rPr>
            <w:t>Alaska</w:t>
          </w:r>
        </w:smartTag>
      </w:smartTag>
      <w:r w:rsidR="00E93642" w:rsidRPr="00B53A30">
        <w:rPr>
          <w:rFonts w:ascii="Bookman Old Style" w:hAnsi="Bookman Old Style"/>
          <w:color w:val="000000"/>
          <w:sz w:val="26"/>
          <w:szCs w:val="26"/>
        </w:rPr>
        <w:t xml:space="preserve"> 1990)</w:t>
      </w:r>
      <w:r w:rsidR="00E93642">
        <w:rPr>
          <w:rFonts w:ascii="Bookman Old Style" w:hAnsi="Bookman Old Style"/>
          <w:color w:val="000000"/>
          <w:sz w:val="26"/>
          <w:szCs w:val="26"/>
        </w:rPr>
        <w:t>;</w:t>
      </w:r>
      <w:r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Pr="00201481">
        <w:rPr>
          <w:rFonts w:ascii="Bookman Old Style" w:hAnsi="Bookman Old Style"/>
          <w:i/>
          <w:color w:val="000000"/>
          <w:sz w:val="26"/>
          <w:szCs w:val="26"/>
        </w:rPr>
        <w:t>Lynden Transport, Inc. v. Haragan</w:t>
      </w:r>
      <w:r w:rsidRPr="00201481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Pr="00201481">
        <w:rPr>
          <w:rFonts w:ascii="Bookman Old Style" w:hAnsi="Bookman Old Style"/>
          <w:sz w:val="26"/>
          <w:szCs w:val="26"/>
        </w:rPr>
        <w:t>623 P.2d 789, 793 (</w:t>
      </w:r>
      <w:smartTag w:uri="urn:schemas-microsoft-com:office:smarttags" w:element="State">
        <w:smartTag w:uri="urn:schemas-microsoft-com:office:smarttags" w:element="place">
          <w:r w:rsidRPr="00201481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201481">
        <w:rPr>
          <w:rFonts w:ascii="Bookman Old Style" w:hAnsi="Bookman Old Style"/>
          <w:sz w:val="26"/>
          <w:szCs w:val="26"/>
        </w:rPr>
        <w:t xml:space="preserve"> 1981)</w:t>
      </w:r>
      <w:r w:rsidR="00E93642">
        <w:rPr>
          <w:rFonts w:ascii="Bookman Old Style" w:hAnsi="Bookman Old Style"/>
          <w:sz w:val="26"/>
          <w:szCs w:val="26"/>
        </w:rPr>
        <w:t>.</w:t>
      </w:r>
    </w:p>
    <w:p w:rsidR="00430E09" w:rsidRDefault="00430E09" w:rsidP="003858A5">
      <w:pPr>
        <w:jc w:val="both"/>
        <w:rPr>
          <w:rFonts w:ascii="Bookman Old Style" w:hAnsi="Bookman Old Style"/>
          <w:sz w:val="26"/>
        </w:rPr>
      </w:pPr>
    </w:p>
    <w:p w:rsidR="00B65C03" w:rsidRDefault="00E93642" w:rsidP="003858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Plaintiff is entitled to a </w:t>
      </w:r>
      <w:r w:rsidRPr="003C4AB1">
        <w:rPr>
          <w:rFonts w:ascii="Bookman Old Style" w:hAnsi="Bookman Old Style"/>
          <w:i/>
          <w:iCs/>
          <w:sz w:val="26"/>
        </w:rPr>
        <w:t>res ipsa loquitur</w:t>
      </w:r>
      <w:r>
        <w:rPr>
          <w:rFonts w:ascii="Bookman Old Style" w:hAnsi="Bookman Old Style"/>
          <w:sz w:val="26"/>
        </w:rPr>
        <w:t xml:space="preserve"> instru</w:t>
      </w:r>
      <w:r w:rsidR="002D5DF8">
        <w:rPr>
          <w:rFonts w:ascii="Bookman Old Style" w:hAnsi="Bookman Old Style"/>
          <w:sz w:val="26"/>
        </w:rPr>
        <w:t xml:space="preserve">ction when the court determines, </w:t>
      </w:r>
      <w:r w:rsidR="008F3AE6">
        <w:rPr>
          <w:rFonts w:ascii="Bookman Old Style" w:hAnsi="Bookman Old Style"/>
          <w:sz w:val="26"/>
        </w:rPr>
        <w:t>viewing the evidence in a light most favorable to plaintiff</w:t>
      </w:r>
      <w:r w:rsidR="002D5DF8">
        <w:rPr>
          <w:rFonts w:ascii="Bookman Old Style" w:hAnsi="Bookman Old Style"/>
          <w:sz w:val="26"/>
        </w:rPr>
        <w:t>,</w:t>
      </w:r>
      <w:r w:rsidR="008F3AE6">
        <w:rPr>
          <w:rFonts w:ascii="Bookman Old Style" w:hAnsi="Bookman Old Style"/>
          <w:sz w:val="26"/>
        </w:rPr>
        <w:t xml:space="preserve"> that</w:t>
      </w:r>
      <w:r>
        <w:rPr>
          <w:rFonts w:ascii="Bookman Old Style" w:hAnsi="Bookman Old Style"/>
          <w:sz w:val="26"/>
        </w:rPr>
        <w:t xml:space="preserve"> </w:t>
      </w:r>
      <w:r w:rsidR="008F3AE6">
        <w:rPr>
          <w:rFonts w:ascii="Bookman Old Style" w:hAnsi="Bookman Old Style"/>
          <w:sz w:val="26"/>
        </w:rPr>
        <w:t>a jury could reasonably conclude the required elements were met.</w:t>
      </w:r>
      <w:r w:rsidR="008F3AE6" w:rsidRPr="0076190F">
        <w:rPr>
          <w:rFonts w:ascii="Bookman Old Style" w:hAnsi="Bookman Old Style"/>
          <w:color w:val="000000"/>
          <w:sz w:val="26"/>
          <w:szCs w:val="26"/>
        </w:rPr>
        <w:t xml:space="preserve">  </w:t>
      </w:r>
      <w:r w:rsidR="002D5DF8" w:rsidRPr="00DC2D78">
        <w:rPr>
          <w:rFonts w:ascii="Bookman Old Style" w:hAnsi="Bookman Old Style"/>
          <w:i/>
          <w:color w:val="000000"/>
          <w:sz w:val="26"/>
          <w:szCs w:val="26"/>
        </w:rPr>
        <w:t>E.g.,</w:t>
      </w:r>
      <w:r w:rsidR="002D5DF8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8F3AE6" w:rsidRPr="0076190F">
        <w:rPr>
          <w:rFonts w:ascii="Bookman Old Style" w:hAnsi="Bookman Old Style"/>
          <w:i/>
          <w:color w:val="000000"/>
          <w:sz w:val="26"/>
          <w:szCs w:val="26"/>
        </w:rPr>
        <w:t xml:space="preserve">State </w:t>
      </w:r>
      <w:r w:rsidR="008F3AE6" w:rsidRPr="00B53A30">
        <w:rPr>
          <w:rFonts w:ascii="Bookman Old Style" w:hAnsi="Bookman Old Style"/>
          <w:i/>
          <w:color w:val="000000"/>
          <w:sz w:val="26"/>
          <w:szCs w:val="26"/>
        </w:rPr>
        <w:t>Farm Fire</w:t>
      </w:r>
      <w:r w:rsidR="008F3AE6" w:rsidRPr="00B53A30">
        <w:rPr>
          <w:rFonts w:ascii="Bookman Old Style" w:hAnsi="Bookman Old Style"/>
          <w:color w:val="000000"/>
          <w:sz w:val="26"/>
          <w:szCs w:val="26"/>
        </w:rPr>
        <w:t xml:space="preserve">, 788 P.2d </w:t>
      </w:r>
      <w:r w:rsidR="008F3AE6">
        <w:rPr>
          <w:rFonts w:ascii="Bookman Old Style" w:hAnsi="Bookman Old Style"/>
          <w:color w:val="000000"/>
          <w:sz w:val="26"/>
          <w:szCs w:val="26"/>
        </w:rPr>
        <w:t>at</w:t>
      </w:r>
      <w:r w:rsidR="008F3AE6" w:rsidRPr="00B53A30">
        <w:rPr>
          <w:rFonts w:ascii="Bookman Old Style" w:hAnsi="Bookman Old Style"/>
          <w:color w:val="000000"/>
          <w:sz w:val="26"/>
          <w:szCs w:val="26"/>
        </w:rPr>
        <w:t xml:space="preserve"> 730</w:t>
      </w:r>
      <w:r w:rsidR="008F3AE6">
        <w:rPr>
          <w:rFonts w:ascii="Bookman Old Style" w:hAnsi="Bookman Old Style"/>
          <w:color w:val="000000"/>
          <w:sz w:val="26"/>
          <w:szCs w:val="26"/>
        </w:rPr>
        <w:t xml:space="preserve">.  </w:t>
      </w:r>
      <w:r w:rsidR="002D5DF8">
        <w:rPr>
          <w:rFonts w:ascii="Bookman Old Style" w:hAnsi="Bookman Old Style"/>
          <w:color w:val="000000"/>
          <w:sz w:val="26"/>
          <w:szCs w:val="26"/>
        </w:rPr>
        <w:t xml:space="preserve">Such an </w:t>
      </w:r>
      <w:r w:rsidR="008F3AE6">
        <w:rPr>
          <w:rFonts w:ascii="Bookman Old Style" w:hAnsi="Bookman Old Style"/>
          <w:color w:val="000000"/>
          <w:sz w:val="26"/>
          <w:szCs w:val="26"/>
        </w:rPr>
        <w:t>instruction</w:t>
      </w:r>
      <w:r w:rsidR="002D5DF8">
        <w:rPr>
          <w:rFonts w:ascii="Bookman Old Style" w:hAnsi="Bookman Old Style"/>
          <w:color w:val="000000"/>
          <w:sz w:val="26"/>
          <w:szCs w:val="26"/>
        </w:rPr>
        <w:t xml:space="preserve"> is inappropriate </w:t>
      </w:r>
      <w:r w:rsidR="008F3AE6">
        <w:rPr>
          <w:rFonts w:ascii="Bookman Old Style" w:hAnsi="Bookman Old Style"/>
          <w:color w:val="000000"/>
          <w:sz w:val="26"/>
          <w:szCs w:val="26"/>
        </w:rPr>
        <w:t>in a case where there is evidence of negligence which prov</w:t>
      </w:r>
      <w:r w:rsidR="00522A89">
        <w:rPr>
          <w:rFonts w:ascii="Bookman Old Style" w:hAnsi="Bookman Old Style"/>
          <w:color w:val="000000"/>
          <w:sz w:val="26"/>
          <w:szCs w:val="26"/>
        </w:rPr>
        <w:t>i</w:t>
      </w:r>
      <w:r w:rsidR="008F3AE6">
        <w:rPr>
          <w:rFonts w:ascii="Bookman Old Style" w:hAnsi="Bookman Old Style"/>
          <w:color w:val="000000"/>
          <w:sz w:val="26"/>
          <w:szCs w:val="26"/>
        </w:rPr>
        <w:t xml:space="preserve">des a complete explanation for the incident. </w:t>
      </w:r>
      <w:r w:rsidR="008F3AE6" w:rsidRPr="00DC2D78">
        <w:rPr>
          <w:rFonts w:ascii="Bookman Old Style" w:hAnsi="Bookman Old Style"/>
          <w:i/>
          <w:color w:val="000000"/>
          <w:sz w:val="26"/>
          <w:szCs w:val="26"/>
        </w:rPr>
        <w:t>E.g.</w:t>
      </w:r>
      <w:r w:rsidR="008F3AE6">
        <w:rPr>
          <w:rFonts w:ascii="Bookman Old Style" w:hAnsi="Bookman Old Style"/>
          <w:color w:val="000000"/>
          <w:sz w:val="26"/>
          <w:szCs w:val="26"/>
        </w:rPr>
        <w:t xml:space="preserve">,  </w:t>
      </w:r>
      <w:r w:rsidR="008F3AE6">
        <w:rPr>
          <w:rFonts w:ascii="Bookman Old Style" w:hAnsi="Bookman Old Style"/>
          <w:i/>
          <w:sz w:val="26"/>
          <w:szCs w:val="26"/>
        </w:rPr>
        <w:t>Norris v. Gatts</w:t>
      </w:r>
      <w:r w:rsidR="008F3AE6">
        <w:rPr>
          <w:rFonts w:ascii="Bookman Old Style" w:hAnsi="Bookman Old Style"/>
          <w:sz w:val="26"/>
          <w:szCs w:val="26"/>
        </w:rPr>
        <w:t>, 7</w:t>
      </w:r>
      <w:r w:rsidR="003C4AB1">
        <w:rPr>
          <w:rFonts w:ascii="Bookman Old Style" w:hAnsi="Bookman Old Style"/>
          <w:sz w:val="26"/>
          <w:szCs w:val="26"/>
        </w:rPr>
        <w:t>3</w:t>
      </w:r>
      <w:r w:rsidR="008F3AE6">
        <w:rPr>
          <w:rFonts w:ascii="Bookman Old Style" w:hAnsi="Bookman Old Style"/>
          <w:sz w:val="26"/>
          <w:szCs w:val="26"/>
        </w:rPr>
        <w:t>8</w:t>
      </w:r>
      <w:r w:rsidR="00DC2D78">
        <w:rPr>
          <w:rFonts w:ascii="Bookman Old Style" w:hAnsi="Bookman Old Style"/>
          <w:sz w:val="26"/>
          <w:szCs w:val="26"/>
        </w:rPr>
        <w:t xml:space="preserve"> </w:t>
      </w:r>
      <w:r w:rsidR="008F3AE6">
        <w:rPr>
          <w:rFonts w:ascii="Bookman Old Style" w:hAnsi="Bookman Old Style"/>
          <w:sz w:val="26"/>
          <w:szCs w:val="26"/>
        </w:rPr>
        <w:t xml:space="preserve">P.2d 344, 348 (Alaska 1987).  </w:t>
      </w:r>
      <w:bookmarkStart w:id="1" w:name="Document1zzSDUNumber3"/>
      <w:bookmarkStart w:id="2" w:name="Document0zzSDUNumber1"/>
      <w:bookmarkEnd w:id="1"/>
      <w:bookmarkEnd w:id="2"/>
      <w:r w:rsidR="008F3AE6">
        <w:rPr>
          <w:rFonts w:ascii="Bookman Old Style" w:hAnsi="Bookman Old Style"/>
          <w:sz w:val="26"/>
          <w:szCs w:val="26"/>
        </w:rPr>
        <w:t xml:space="preserve">The doctrine does not apply to </w:t>
      </w:r>
      <w:r w:rsidR="00B65C03">
        <w:rPr>
          <w:rFonts w:ascii="Bookman Old Style" w:hAnsi="Bookman Old Style"/>
          <w:sz w:val="26"/>
        </w:rPr>
        <w:t xml:space="preserve">medical malpractice cases.  </w:t>
      </w:r>
      <w:r w:rsidR="00E05DB3" w:rsidRPr="00DC2D78">
        <w:rPr>
          <w:rFonts w:ascii="Bookman Old Style" w:hAnsi="Bookman Old Style"/>
          <w:i/>
          <w:sz w:val="26"/>
        </w:rPr>
        <w:t>E.g.</w:t>
      </w:r>
      <w:r w:rsidR="00E05DB3">
        <w:rPr>
          <w:rFonts w:ascii="Bookman Old Style" w:hAnsi="Bookman Old Style"/>
          <w:sz w:val="26"/>
        </w:rPr>
        <w:t xml:space="preserve">, </w:t>
      </w:r>
      <w:r w:rsidR="00E05DB3" w:rsidRPr="00E05DB3">
        <w:rPr>
          <w:rFonts w:ascii="Bookman Old Style" w:hAnsi="Bookman Old Style"/>
          <w:i/>
          <w:color w:val="000000"/>
          <w:sz w:val="26"/>
          <w:szCs w:val="26"/>
        </w:rPr>
        <w:t>Parker v. Tomera</w:t>
      </w:r>
      <w:r w:rsidR="00E05DB3" w:rsidRPr="00E05DB3">
        <w:rPr>
          <w:rFonts w:ascii="Bookman Old Style" w:hAnsi="Bookman Old Style"/>
          <w:color w:val="000000"/>
          <w:sz w:val="26"/>
          <w:szCs w:val="26"/>
        </w:rPr>
        <w:t>, 89 P.3d 761, 770 (Alaska 2004)</w:t>
      </w:r>
      <w:r w:rsidR="00B65C03">
        <w:rPr>
          <w:rFonts w:ascii="Bookman Old Style" w:hAnsi="Bookman Old Style"/>
          <w:sz w:val="26"/>
        </w:rPr>
        <w:t>.</w:t>
      </w:r>
      <w:r w:rsidR="000528D3" w:rsidRPr="000528D3">
        <w:rPr>
          <w:i/>
        </w:rPr>
        <w:t xml:space="preserve"> </w:t>
      </w:r>
    </w:p>
    <w:p w:rsidR="00323504" w:rsidRDefault="00323504" w:rsidP="003858A5">
      <w:pPr>
        <w:ind w:firstLine="720"/>
        <w:jc w:val="both"/>
      </w:pPr>
    </w:p>
    <w:sectPr w:rsidR="00323504" w:rsidSect="003858A5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89" w:rsidRDefault="00317B89">
      <w:r>
        <w:separator/>
      </w:r>
    </w:p>
  </w:endnote>
  <w:endnote w:type="continuationSeparator" w:id="0">
    <w:p w:rsidR="00317B89" w:rsidRDefault="003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5" w:rsidRPr="0069674C" w:rsidRDefault="00727C60" w:rsidP="0069674C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556C95" w:rsidRPr="0069674C">
      <w:rPr>
        <w:rFonts w:ascii="Bookman Old Style" w:hAnsi="Bookman Old Style"/>
        <w:sz w:val="24"/>
        <w:szCs w:val="24"/>
      </w:rPr>
      <w:tab/>
    </w:r>
    <w:r w:rsidR="00556C95" w:rsidRPr="0069674C">
      <w:rPr>
        <w:rFonts w:ascii="Bookman Old Style" w:hAnsi="Bookman Old Style"/>
        <w:sz w:val="24"/>
        <w:szCs w:val="24"/>
      </w:rPr>
      <w:tab/>
      <w:t>03.</w:t>
    </w:r>
    <w:r w:rsidR="003858A5">
      <w:rPr>
        <w:rFonts w:ascii="Bookman Old Style" w:hAnsi="Bookman Old Style"/>
        <w:sz w:val="24"/>
        <w:szCs w:val="24"/>
      </w:rPr>
      <w:t>05</w:t>
    </w:r>
    <w:r w:rsidR="00556C95" w:rsidRPr="0069674C">
      <w:rPr>
        <w:rFonts w:ascii="Bookman Old Style" w:hAnsi="Bookman Old Style"/>
        <w:sz w:val="24"/>
        <w:szCs w:val="24"/>
      </w:rPr>
      <w:t xml:space="preserve"> –</w:t>
    </w:r>
    <w:r w:rsidR="0069674C">
      <w:rPr>
        <w:rFonts w:ascii="Bookman Old Style" w:hAnsi="Bookman Old Style"/>
        <w:sz w:val="24"/>
        <w:szCs w:val="24"/>
      </w:rPr>
      <w:t xml:space="preserve"> </w:t>
    </w:r>
    <w:r w:rsidR="00556C95" w:rsidRPr="0069674C">
      <w:rPr>
        <w:rStyle w:val="PageNumber"/>
        <w:rFonts w:ascii="Bookman Old Style" w:hAnsi="Bookman Old Style"/>
        <w:sz w:val="24"/>
        <w:szCs w:val="24"/>
      </w:rPr>
      <w:fldChar w:fldCharType="begin"/>
    </w:r>
    <w:r w:rsidR="00556C95" w:rsidRPr="0069674C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556C95" w:rsidRPr="0069674C">
      <w:rPr>
        <w:rStyle w:val="PageNumber"/>
        <w:rFonts w:ascii="Bookman Old Style" w:hAnsi="Bookman Old Style"/>
        <w:sz w:val="24"/>
        <w:szCs w:val="24"/>
      </w:rPr>
      <w:fldChar w:fldCharType="separate"/>
    </w:r>
    <w:r w:rsidR="0048340F">
      <w:rPr>
        <w:rStyle w:val="PageNumber"/>
        <w:rFonts w:ascii="Bookman Old Style" w:hAnsi="Bookman Old Style"/>
        <w:noProof/>
        <w:sz w:val="24"/>
        <w:szCs w:val="24"/>
      </w:rPr>
      <w:t>2</w:t>
    </w:r>
    <w:r w:rsidR="00556C95" w:rsidRPr="0069674C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5" w:rsidRPr="0069674C" w:rsidRDefault="00727C60" w:rsidP="00DE4A6C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556C95" w:rsidRPr="0069674C">
      <w:rPr>
        <w:rFonts w:ascii="Bookman Old Style" w:hAnsi="Bookman Old Style"/>
        <w:sz w:val="24"/>
        <w:szCs w:val="24"/>
      </w:rPr>
      <w:tab/>
    </w:r>
    <w:r w:rsidR="00556C95" w:rsidRPr="0069674C">
      <w:rPr>
        <w:rFonts w:ascii="Bookman Old Style" w:hAnsi="Bookman Old Style"/>
        <w:sz w:val="24"/>
        <w:szCs w:val="24"/>
      </w:rPr>
      <w:tab/>
      <w:t>03.</w:t>
    </w:r>
    <w:r w:rsidR="003858A5">
      <w:rPr>
        <w:rFonts w:ascii="Bookman Old Style" w:hAnsi="Bookman Old Style"/>
        <w:sz w:val="24"/>
        <w:szCs w:val="24"/>
      </w:rPr>
      <w:t>05</w:t>
    </w:r>
    <w:r w:rsidR="00556C95" w:rsidRPr="0069674C">
      <w:rPr>
        <w:rFonts w:ascii="Bookman Old Style" w:hAnsi="Bookman Old Style"/>
        <w:sz w:val="24"/>
        <w:szCs w:val="24"/>
      </w:rPr>
      <w:t xml:space="preserve"> –</w:t>
    </w:r>
    <w:r w:rsidR="0069674C">
      <w:rPr>
        <w:rFonts w:ascii="Bookman Old Style" w:hAnsi="Bookman Old Style"/>
        <w:sz w:val="24"/>
        <w:szCs w:val="24"/>
      </w:rPr>
      <w:t xml:space="preserve"> </w:t>
    </w:r>
    <w:r w:rsidR="00556C95" w:rsidRPr="0069674C">
      <w:rPr>
        <w:rStyle w:val="PageNumber"/>
        <w:rFonts w:ascii="Bookman Old Style" w:hAnsi="Bookman Old Style"/>
        <w:sz w:val="24"/>
        <w:szCs w:val="24"/>
      </w:rPr>
      <w:fldChar w:fldCharType="begin"/>
    </w:r>
    <w:r w:rsidR="00556C95" w:rsidRPr="0069674C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556C95" w:rsidRPr="0069674C">
      <w:rPr>
        <w:rStyle w:val="PageNumber"/>
        <w:rFonts w:ascii="Bookman Old Style" w:hAnsi="Bookman Old Style"/>
        <w:sz w:val="24"/>
        <w:szCs w:val="24"/>
      </w:rPr>
      <w:fldChar w:fldCharType="separate"/>
    </w:r>
    <w:r w:rsidR="0048340F">
      <w:rPr>
        <w:rStyle w:val="PageNumber"/>
        <w:rFonts w:ascii="Bookman Old Style" w:hAnsi="Bookman Old Style"/>
        <w:noProof/>
        <w:sz w:val="24"/>
        <w:szCs w:val="24"/>
      </w:rPr>
      <w:t>1</w:t>
    </w:r>
    <w:r w:rsidR="00556C95" w:rsidRPr="0069674C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89" w:rsidRDefault="00317B89">
      <w:r>
        <w:separator/>
      </w:r>
    </w:p>
  </w:footnote>
  <w:footnote w:type="continuationSeparator" w:id="0">
    <w:p w:rsidR="00317B89" w:rsidRDefault="0031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7F"/>
    <w:rsid w:val="000207B0"/>
    <w:rsid w:val="000528D3"/>
    <w:rsid w:val="0006444E"/>
    <w:rsid w:val="00082279"/>
    <w:rsid w:val="0008354F"/>
    <w:rsid w:val="000A6956"/>
    <w:rsid w:val="00126117"/>
    <w:rsid w:val="001265B5"/>
    <w:rsid w:val="0016550D"/>
    <w:rsid w:val="001A5987"/>
    <w:rsid w:val="001B1A61"/>
    <w:rsid w:val="001B2562"/>
    <w:rsid w:val="001C0D2C"/>
    <w:rsid w:val="001E4DA7"/>
    <w:rsid w:val="0025258B"/>
    <w:rsid w:val="00261C2F"/>
    <w:rsid w:val="002736EE"/>
    <w:rsid w:val="002A165E"/>
    <w:rsid w:val="002D5DF8"/>
    <w:rsid w:val="002F5E21"/>
    <w:rsid w:val="00317B89"/>
    <w:rsid w:val="00323415"/>
    <w:rsid w:val="00323504"/>
    <w:rsid w:val="003245CC"/>
    <w:rsid w:val="0034729D"/>
    <w:rsid w:val="00375914"/>
    <w:rsid w:val="003777A4"/>
    <w:rsid w:val="003858A5"/>
    <w:rsid w:val="003953B2"/>
    <w:rsid w:val="003C4AB1"/>
    <w:rsid w:val="003D3557"/>
    <w:rsid w:val="004138C7"/>
    <w:rsid w:val="00430E09"/>
    <w:rsid w:val="00447292"/>
    <w:rsid w:val="00454DCA"/>
    <w:rsid w:val="0048340F"/>
    <w:rsid w:val="004B23A9"/>
    <w:rsid w:val="00500497"/>
    <w:rsid w:val="00522A89"/>
    <w:rsid w:val="00522E7F"/>
    <w:rsid w:val="00527DF7"/>
    <w:rsid w:val="00532F1F"/>
    <w:rsid w:val="005427FB"/>
    <w:rsid w:val="00546CAD"/>
    <w:rsid w:val="00556C95"/>
    <w:rsid w:val="005652C3"/>
    <w:rsid w:val="005B5032"/>
    <w:rsid w:val="005C6D59"/>
    <w:rsid w:val="005F302D"/>
    <w:rsid w:val="0060054D"/>
    <w:rsid w:val="006315A6"/>
    <w:rsid w:val="0069674C"/>
    <w:rsid w:val="006B53FC"/>
    <w:rsid w:val="00727C60"/>
    <w:rsid w:val="00751217"/>
    <w:rsid w:val="00774360"/>
    <w:rsid w:val="007C63A9"/>
    <w:rsid w:val="007D029F"/>
    <w:rsid w:val="008046F3"/>
    <w:rsid w:val="00875AD9"/>
    <w:rsid w:val="0089600C"/>
    <w:rsid w:val="008D1302"/>
    <w:rsid w:val="008E08B8"/>
    <w:rsid w:val="008F3AE6"/>
    <w:rsid w:val="008F4BF3"/>
    <w:rsid w:val="00912F2C"/>
    <w:rsid w:val="009162D7"/>
    <w:rsid w:val="00923C00"/>
    <w:rsid w:val="009C7169"/>
    <w:rsid w:val="00A20B51"/>
    <w:rsid w:val="00A2641D"/>
    <w:rsid w:val="00A54D23"/>
    <w:rsid w:val="00A72540"/>
    <w:rsid w:val="00AD439C"/>
    <w:rsid w:val="00AD4FD7"/>
    <w:rsid w:val="00AF2DED"/>
    <w:rsid w:val="00B070A9"/>
    <w:rsid w:val="00B27125"/>
    <w:rsid w:val="00B60AB0"/>
    <w:rsid w:val="00B65C03"/>
    <w:rsid w:val="00B9137C"/>
    <w:rsid w:val="00BC3900"/>
    <w:rsid w:val="00C03012"/>
    <w:rsid w:val="00C875B0"/>
    <w:rsid w:val="00CA25B8"/>
    <w:rsid w:val="00CC12AF"/>
    <w:rsid w:val="00CC2EF5"/>
    <w:rsid w:val="00CD67BD"/>
    <w:rsid w:val="00D13781"/>
    <w:rsid w:val="00D1777D"/>
    <w:rsid w:val="00D32E11"/>
    <w:rsid w:val="00DB3AB0"/>
    <w:rsid w:val="00DC2539"/>
    <w:rsid w:val="00DC2D78"/>
    <w:rsid w:val="00DE4A6C"/>
    <w:rsid w:val="00DE76E0"/>
    <w:rsid w:val="00E05DB3"/>
    <w:rsid w:val="00E93642"/>
    <w:rsid w:val="00EB5D06"/>
    <w:rsid w:val="00EE2BD2"/>
    <w:rsid w:val="00EF4FF6"/>
    <w:rsid w:val="00F00FB2"/>
    <w:rsid w:val="00F0661A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2">
    <w:name w:val="OmniPage #2"/>
    <w:basedOn w:val="Normal"/>
    <w:pPr>
      <w:spacing w:line="220" w:lineRule="exact"/>
    </w:pPr>
  </w:style>
  <w:style w:type="paragraph" w:customStyle="1" w:styleId="OmniPage3">
    <w:name w:val="OmniPage #3"/>
    <w:basedOn w:val="Normal"/>
    <w:pPr>
      <w:spacing w:line="480" w:lineRule="exact"/>
    </w:pPr>
  </w:style>
  <w:style w:type="paragraph" w:customStyle="1" w:styleId="OmniPage4">
    <w:name w:val="OmniPage #4"/>
    <w:basedOn w:val="Normal"/>
    <w:pPr>
      <w:spacing w:line="240" w:lineRule="exact"/>
    </w:pPr>
  </w:style>
  <w:style w:type="paragraph" w:styleId="BodyText">
    <w:name w:val="Body Text"/>
    <w:basedOn w:val="Normal"/>
    <w:rPr>
      <w:rFonts w:ascii="Bookman Old Style" w:hAnsi="Bookman Old Style"/>
      <w:sz w:val="26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F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2">
    <w:name w:val="OmniPage #2"/>
    <w:basedOn w:val="Normal"/>
    <w:pPr>
      <w:spacing w:line="220" w:lineRule="exact"/>
    </w:pPr>
  </w:style>
  <w:style w:type="paragraph" w:customStyle="1" w:styleId="OmniPage3">
    <w:name w:val="OmniPage #3"/>
    <w:basedOn w:val="Normal"/>
    <w:pPr>
      <w:spacing w:line="480" w:lineRule="exact"/>
    </w:pPr>
  </w:style>
  <w:style w:type="paragraph" w:customStyle="1" w:styleId="OmniPage4">
    <w:name w:val="OmniPage #4"/>
    <w:basedOn w:val="Normal"/>
    <w:pPr>
      <w:spacing w:line="240" w:lineRule="exact"/>
    </w:pPr>
  </w:style>
  <w:style w:type="paragraph" w:styleId="BodyText">
    <w:name w:val="Body Text"/>
    <w:basedOn w:val="Normal"/>
    <w:rPr>
      <w:rFonts w:ascii="Bookman Old Style" w:hAnsi="Bookman Old Style"/>
      <w:sz w:val="26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F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aw.com/Find/Default.wl?rs=dfa1.0&amp;vr=2.0&amp;DB=661&amp;FindType=Y&amp;ReferencePositionType=S&amp;SerialNum=1978130554&amp;ReferencePosition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law.com/Find/Default.wl?rs=dfa1.0&amp;vr=2.0&amp;DB=661&amp;FindType=Y&amp;ReferencePositionType=S&amp;SerialNum=1978130554&amp;ReferencePosition=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3448</CharactersWithSpaces>
  <SharedDoc>false</SharedDoc>
  <HLinks>
    <vt:vector size="12" baseType="variant">
      <vt:variant>
        <vt:i4>6881392</vt:i4>
      </vt:variant>
      <vt:variant>
        <vt:i4>3</vt:i4>
      </vt:variant>
      <vt:variant>
        <vt:i4>0</vt:i4>
      </vt:variant>
      <vt:variant>
        <vt:i4>5</vt:i4>
      </vt:variant>
      <vt:variant>
        <vt:lpwstr>http://www.westlaw.com/Find/Default.wl?rs=dfa1.0&amp;vr=2.0&amp;DB=661&amp;FindType=Y&amp;ReferencePositionType=S&amp;SerialNum=1978130554&amp;ReferencePosition=10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http://www.westlaw.com/Find/Default.wl?rs=dfa1.0&amp;vr=2.0&amp;DB=661&amp;FindType=Y&amp;ReferencePositionType=S&amp;SerialNum=1978130554&amp;ReferencePosition=10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korzechowski</dc:creator>
  <cp:keywords/>
  <cp:lastModifiedBy>Michael Merrington</cp:lastModifiedBy>
  <cp:revision>3</cp:revision>
  <cp:lastPrinted>2008-07-16T17:15:00Z</cp:lastPrinted>
  <dcterms:created xsi:type="dcterms:W3CDTF">2017-04-04T18:37:00Z</dcterms:created>
  <dcterms:modified xsi:type="dcterms:W3CDTF">2017-04-04T18:37:00Z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1729946895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