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26F" w:rsidRPr="00D9031B" w:rsidRDefault="006C226F" w:rsidP="00D9031B">
      <w:pPr>
        <w:pStyle w:val="OmniPage18"/>
        <w:tabs>
          <w:tab w:val="left" w:pos="1440"/>
          <w:tab w:val="right" w:pos="2963"/>
        </w:tabs>
        <w:spacing w:line="360" w:lineRule="auto"/>
        <w:jc w:val="both"/>
        <w:rPr>
          <w:rFonts w:ascii="Bookman Old Style" w:hAnsi="Bookman Old Style"/>
          <w:b/>
          <w:bCs/>
          <w:sz w:val="26"/>
        </w:rPr>
      </w:pPr>
      <w:bookmarkStart w:id="0" w:name="_GoBack"/>
      <w:bookmarkEnd w:id="0"/>
      <w:r w:rsidRPr="00D9031B">
        <w:rPr>
          <w:rFonts w:ascii="Bookman Old Style" w:hAnsi="Bookman Old Style"/>
          <w:b/>
          <w:bCs/>
          <w:sz w:val="26"/>
        </w:rPr>
        <w:t>03.0</w:t>
      </w:r>
      <w:r w:rsidR="00D9031B" w:rsidRPr="00D9031B">
        <w:rPr>
          <w:rFonts w:ascii="Bookman Old Style" w:hAnsi="Bookman Old Style"/>
          <w:b/>
          <w:bCs/>
          <w:sz w:val="26"/>
        </w:rPr>
        <w:t>7</w:t>
      </w:r>
      <w:r w:rsidRPr="00D9031B">
        <w:rPr>
          <w:rFonts w:ascii="Bookman Old Style" w:hAnsi="Bookman Old Style"/>
          <w:b/>
          <w:bCs/>
          <w:sz w:val="26"/>
        </w:rPr>
        <w:tab/>
      </w:r>
      <w:r w:rsidR="008B4325" w:rsidRPr="00D9031B">
        <w:rPr>
          <w:rFonts w:ascii="Bookman Old Style" w:hAnsi="Bookman Old Style"/>
          <w:b/>
          <w:bCs/>
          <w:sz w:val="26"/>
        </w:rPr>
        <w:t>SUBSTANTIAL FACTOR</w:t>
      </w:r>
    </w:p>
    <w:p w:rsidR="006C226F" w:rsidRDefault="006C226F" w:rsidP="00D9031B">
      <w:pPr>
        <w:pStyle w:val="OmniPage11"/>
        <w:tabs>
          <w:tab w:val="left" w:pos="1520"/>
        </w:tabs>
        <w:spacing w:line="360" w:lineRule="auto"/>
        <w:jc w:val="both"/>
        <w:rPr>
          <w:rFonts w:ascii="Bookman Old Style" w:hAnsi="Bookman Old Style"/>
          <w:sz w:val="26"/>
        </w:rPr>
      </w:pPr>
    </w:p>
    <w:p w:rsidR="008B4325" w:rsidRDefault="008B4325" w:rsidP="00D9031B">
      <w:pPr>
        <w:pStyle w:val="OmniPage1"/>
        <w:tabs>
          <w:tab w:val="left" w:pos="720"/>
          <w:tab w:val="left" w:pos="2224"/>
          <w:tab w:val="right" w:pos="9440"/>
        </w:tabs>
        <w:spacing w:line="360" w:lineRule="auto"/>
        <w:ind w:left="720" w:right="69" w:hanging="720"/>
        <w:jc w:val="both"/>
        <w:rPr>
          <w:rFonts w:ascii="Bookman Old Style" w:hAnsi="Bookman Old Style"/>
          <w:noProof w:val="0"/>
          <w:sz w:val="26"/>
        </w:rPr>
      </w:pPr>
      <w:r>
        <w:rPr>
          <w:rFonts w:ascii="Bookman Old Style" w:hAnsi="Bookman Old Style"/>
          <w:noProof w:val="0"/>
          <w:sz w:val="26"/>
        </w:rPr>
        <w:t>Negligence is a substantial factor in causing harm if:</w:t>
      </w:r>
    </w:p>
    <w:p w:rsidR="008B4325" w:rsidRDefault="008B4325" w:rsidP="00D9031B">
      <w:pPr>
        <w:pStyle w:val="OmniPage1"/>
        <w:tabs>
          <w:tab w:val="left" w:pos="720"/>
          <w:tab w:val="left" w:pos="2224"/>
          <w:tab w:val="right" w:pos="9440"/>
        </w:tabs>
        <w:spacing w:line="360" w:lineRule="auto"/>
        <w:ind w:left="720" w:right="69" w:hanging="720"/>
        <w:jc w:val="both"/>
        <w:rPr>
          <w:rFonts w:ascii="Bookman Old Style" w:hAnsi="Bookman Old Style"/>
          <w:noProof w:val="0"/>
          <w:sz w:val="26"/>
        </w:rPr>
      </w:pPr>
    </w:p>
    <w:p w:rsidR="008B4325" w:rsidRDefault="008B4325" w:rsidP="00D9031B">
      <w:pPr>
        <w:pStyle w:val="OmniPage1"/>
        <w:tabs>
          <w:tab w:val="left" w:pos="720"/>
          <w:tab w:val="right" w:pos="9440"/>
        </w:tabs>
        <w:spacing w:line="360" w:lineRule="auto"/>
        <w:ind w:left="720" w:right="69" w:hanging="720"/>
        <w:jc w:val="both"/>
        <w:rPr>
          <w:rFonts w:ascii="Bookman Old Style" w:hAnsi="Bookman Old Style"/>
          <w:noProof w:val="0"/>
          <w:sz w:val="26"/>
        </w:rPr>
      </w:pPr>
      <w:r>
        <w:rPr>
          <w:rFonts w:ascii="Bookman Old Style" w:hAnsi="Bookman Old Style"/>
          <w:noProof w:val="0"/>
          <w:sz w:val="26"/>
        </w:rPr>
        <w:t>(1)</w:t>
      </w:r>
      <w:r>
        <w:rPr>
          <w:rFonts w:ascii="Bookman Old Style" w:hAnsi="Bookman Old Style"/>
          <w:noProof w:val="0"/>
          <w:sz w:val="26"/>
        </w:rPr>
        <w:tab/>
        <w:t>the harm would not have occurred without the negligence; and</w:t>
      </w:r>
    </w:p>
    <w:p w:rsidR="008B4325" w:rsidRDefault="008B4325" w:rsidP="00D9031B">
      <w:pPr>
        <w:pStyle w:val="OmniPage1"/>
        <w:tabs>
          <w:tab w:val="left" w:pos="720"/>
          <w:tab w:val="left" w:pos="2224"/>
          <w:tab w:val="right" w:pos="9440"/>
        </w:tabs>
        <w:spacing w:line="360" w:lineRule="auto"/>
        <w:ind w:right="69"/>
        <w:jc w:val="both"/>
        <w:rPr>
          <w:rFonts w:ascii="Bookman Old Style" w:hAnsi="Bookman Old Style"/>
          <w:noProof w:val="0"/>
          <w:sz w:val="26"/>
        </w:rPr>
      </w:pPr>
    </w:p>
    <w:p w:rsidR="008B4325" w:rsidRDefault="008B4325" w:rsidP="00D9031B">
      <w:pPr>
        <w:pStyle w:val="OmniPage1"/>
        <w:tabs>
          <w:tab w:val="left" w:pos="720"/>
          <w:tab w:val="left" w:pos="2224"/>
          <w:tab w:val="right" w:pos="9440"/>
        </w:tabs>
        <w:spacing w:line="360" w:lineRule="auto"/>
        <w:ind w:left="720" w:right="69" w:hanging="720"/>
        <w:jc w:val="both"/>
        <w:rPr>
          <w:rFonts w:ascii="Bookman Old Style" w:hAnsi="Bookman Old Style"/>
          <w:noProof w:val="0"/>
          <w:sz w:val="26"/>
        </w:rPr>
      </w:pPr>
      <w:r>
        <w:rPr>
          <w:rFonts w:ascii="Bookman Old Style" w:hAnsi="Bookman Old Style"/>
          <w:noProof w:val="0"/>
          <w:sz w:val="26"/>
        </w:rPr>
        <w:t xml:space="preserve">(2) </w:t>
      </w:r>
      <w:r>
        <w:rPr>
          <w:rFonts w:ascii="Bookman Old Style" w:hAnsi="Bookman Old Style"/>
          <w:noProof w:val="0"/>
          <w:sz w:val="26"/>
        </w:rPr>
        <w:tab/>
        <w:t xml:space="preserve">the negligence was important enough in causing the harm that </w:t>
      </w:r>
      <w:r w:rsidR="00B648FF">
        <w:rPr>
          <w:rFonts w:ascii="Bookman Old Style" w:hAnsi="Bookman Old Style"/>
          <w:noProof w:val="0"/>
          <w:sz w:val="26"/>
        </w:rPr>
        <w:t xml:space="preserve">a reasonable person would hold </w:t>
      </w:r>
      <w:r>
        <w:rPr>
          <w:rFonts w:ascii="Bookman Old Style" w:hAnsi="Bookman Old Style"/>
          <w:noProof w:val="0"/>
          <w:sz w:val="26"/>
        </w:rPr>
        <w:t xml:space="preserve">the negligent person responsible. </w:t>
      </w:r>
      <w:r w:rsidR="00FC6573">
        <w:rPr>
          <w:rFonts w:ascii="Bookman Old Style" w:hAnsi="Bookman Old Style"/>
          <w:noProof w:val="0"/>
          <w:sz w:val="26"/>
        </w:rPr>
        <w:t xml:space="preserve"> </w:t>
      </w:r>
      <w:r>
        <w:rPr>
          <w:rFonts w:ascii="Bookman Old Style" w:hAnsi="Bookman Old Style"/>
          <w:noProof w:val="0"/>
          <w:sz w:val="26"/>
        </w:rPr>
        <w:t xml:space="preserve">The negligence cannot be a remote or trivial factor. </w:t>
      </w:r>
    </w:p>
    <w:p w:rsidR="00214C19" w:rsidRDefault="00214C19" w:rsidP="00D9031B">
      <w:pPr>
        <w:pStyle w:val="OmniPage11"/>
        <w:spacing w:line="360" w:lineRule="auto"/>
        <w:jc w:val="both"/>
        <w:rPr>
          <w:rFonts w:ascii="Bookman Old Style" w:hAnsi="Bookman Old Style"/>
          <w:sz w:val="26"/>
        </w:rPr>
      </w:pPr>
    </w:p>
    <w:p w:rsidR="006104D6" w:rsidRDefault="00FD3865" w:rsidP="00D9031B">
      <w:pPr>
        <w:pStyle w:val="OmniPage11"/>
        <w:spacing w:line="360" w:lineRule="auto"/>
        <w:jc w:val="both"/>
        <w:rPr>
          <w:rFonts w:ascii="Bookman Old Style" w:hAnsi="Bookman Old Style"/>
          <w:sz w:val="26"/>
        </w:rPr>
      </w:pPr>
      <w:r>
        <w:rPr>
          <w:rFonts w:ascii="Bookman Old Style" w:hAnsi="Bookman Old Style"/>
          <w:sz w:val="26"/>
        </w:rPr>
        <w:t>[</w:t>
      </w:r>
      <w:r w:rsidR="006104D6">
        <w:rPr>
          <w:rFonts w:ascii="Bookman Old Style" w:hAnsi="Bookman Old Style"/>
          <w:sz w:val="26"/>
        </w:rPr>
        <w:t>Number (1) does not apply if two events operated to cause the harm, one because of the defendant’s negligence and the other not, and each event by itself was sufficient to cause the harm.</w:t>
      </w:r>
      <w:r>
        <w:rPr>
          <w:rFonts w:ascii="Bookman Old Style" w:hAnsi="Bookman Old Style"/>
          <w:sz w:val="26"/>
        </w:rPr>
        <w:t>]</w:t>
      </w:r>
      <w:r w:rsidR="006104D6">
        <w:rPr>
          <w:rFonts w:ascii="Bookman Old Style" w:hAnsi="Bookman Old Style"/>
          <w:sz w:val="26"/>
        </w:rPr>
        <w:t xml:space="preserve"> </w:t>
      </w:r>
    </w:p>
    <w:p w:rsidR="006C226F" w:rsidRDefault="006C226F" w:rsidP="00D9031B">
      <w:pPr>
        <w:jc w:val="both"/>
        <w:rPr>
          <w:rFonts w:ascii="Bookman Old Style" w:hAnsi="Bookman Old Style"/>
          <w:sz w:val="26"/>
        </w:rPr>
      </w:pPr>
    </w:p>
    <w:p w:rsidR="000603A0" w:rsidRDefault="00D9031B" w:rsidP="00D9031B">
      <w:pPr>
        <w:pStyle w:val="OmniPage9"/>
        <w:tabs>
          <w:tab w:val="right" w:pos="5581"/>
        </w:tabs>
        <w:spacing w:line="240" w:lineRule="auto"/>
        <w:jc w:val="center"/>
        <w:rPr>
          <w:rFonts w:ascii="Bookman Old Style" w:hAnsi="Bookman Old Style"/>
          <w:sz w:val="26"/>
          <w:u w:val="single"/>
        </w:rPr>
      </w:pPr>
      <w:r>
        <w:rPr>
          <w:rFonts w:ascii="Bookman Old Style" w:hAnsi="Bookman Old Style"/>
          <w:sz w:val="26"/>
          <w:u w:val="single"/>
        </w:rPr>
        <w:t>Direction</w:t>
      </w:r>
      <w:r w:rsidR="00D33B2D">
        <w:rPr>
          <w:rFonts w:ascii="Bookman Old Style" w:hAnsi="Bookman Old Style"/>
          <w:sz w:val="26"/>
          <w:u w:val="single"/>
        </w:rPr>
        <w:t>s</w:t>
      </w:r>
      <w:r>
        <w:rPr>
          <w:rFonts w:ascii="Bookman Old Style" w:hAnsi="Bookman Old Style"/>
          <w:sz w:val="26"/>
          <w:u w:val="single"/>
        </w:rPr>
        <w:t xml:space="preserve"> for Use</w:t>
      </w:r>
    </w:p>
    <w:p w:rsidR="000603A0" w:rsidRDefault="000603A0" w:rsidP="00D9031B">
      <w:pPr>
        <w:jc w:val="both"/>
        <w:rPr>
          <w:rFonts w:ascii="Bookman Old Style" w:hAnsi="Bookman Old Style"/>
          <w:sz w:val="26"/>
        </w:rPr>
      </w:pPr>
    </w:p>
    <w:p w:rsidR="000603A0" w:rsidRDefault="000603A0" w:rsidP="00D9031B">
      <w:pPr>
        <w:pStyle w:val="OmniPage18"/>
        <w:spacing w:line="240" w:lineRule="auto"/>
        <w:jc w:val="both"/>
        <w:rPr>
          <w:rFonts w:ascii="Bookman Old Style" w:hAnsi="Bookman Old Style"/>
          <w:sz w:val="26"/>
        </w:rPr>
      </w:pPr>
      <w:r>
        <w:rPr>
          <w:rFonts w:ascii="Bookman Old Style" w:hAnsi="Bookman Old Style"/>
          <w:sz w:val="26"/>
        </w:rPr>
        <w:t>This is the general causation instruction for negligence cases.  It includes both fact and legal caus</w:t>
      </w:r>
      <w:r w:rsidR="00EB78B5">
        <w:rPr>
          <w:rFonts w:ascii="Bookman Old Style" w:hAnsi="Bookman Old Style"/>
          <w:sz w:val="26"/>
        </w:rPr>
        <w:t>e</w:t>
      </w:r>
      <w:r>
        <w:rPr>
          <w:rFonts w:ascii="Bookman Old Style" w:hAnsi="Bookman Old Style"/>
          <w:sz w:val="26"/>
        </w:rPr>
        <w:t xml:space="preserve">.  The bracketed language should be given if two or more forces are claimed to have operated to bring about the injury, and each of them operating alone is sufficient to cause the injury.  </w:t>
      </w:r>
    </w:p>
    <w:p w:rsidR="000603A0" w:rsidRDefault="000603A0" w:rsidP="00D9031B">
      <w:pPr>
        <w:pStyle w:val="OmniPage18"/>
        <w:spacing w:line="240" w:lineRule="auto"/>
        <w:ind w:firstLine="777"/>
        <w:jc w:val="both"/>
        <w:rPr>
          <w:rFonts w:ascii="Bookman Old Style" w:hAnsi="Bookman Old Style"/>
          <w:sz w:val="26"/>
        </w:rPr>
      </w:pPr>
    </w:p>
    <w:p w:rsidR="000603A0" w:rsidRDefault="000603A0" w:rsidP="00D9031B">
      <w:pPr>
        <w:pStyle w:val="OmniPage18"/>
        <w:spacing w:line="240" w:lineRule="auto"/>
        <w:jc w:val="both"/>
        <w:rPr>
          <w:rFonts w:ascii="Bookman Old Style" w:hAnsi="Bookman Old Style"/>
          <w:sz w:val="26"/>
        </w:rPr>
      </w:pPr>
      <w:r>
        <w:rPr>
          <w:rFonts w:ascii="Bookman Old Style" w:hAnsi="Bookman Old Style"/>
          <w:sz w:val="26"/>
        </w:rPr>
        <w:t>If there is evidence of multiple cause</w:t>
      </w:r>
      <w:r w:rsidR="00E66FA9">
        <w:rPr>
          <w:rFonts w:ascii="Bookman Old Style" w:hAnsi="Bookman Old Style"/>
          <w:sz w:val="26"/>
        </w:rPr>
        <w:t>s</w:t>
      </w:r>
      <w:r>
        <w:rPr>
          <w:rFonts w:ascii="Bookman Old Style" w:hAnsi="Bookman Old Style"/>
          <w:sz w:val="26"/>
        </w:rPr>
        <w:t xml:space="preserve">, </w:t>
      </w:r>
      <w:r w:rsidR="00E66FA9">
        <w:rPr>
          <w:rFonts w:ascii="Bookman Old Style" w:hAnsi="Bookman Old Style"/>
          <w:sz w:val="26"/>
        </w:rPr>
        <w:t>I</w:t>
      </w:r>
      <w:r w:rsidR="00D9031B">
        <w:rPr>
          <w:rFonts w:ascii="Bookman Old Style" w:hAnsi="Bookman Old Style"/>
          <w:sz w:val="26"/>
        </w:rPr>
        <w:t>nstruction 3.08 (Multiple Causes)</w:t>
      </w:r>
      <w:r>
        <w:rPr>
          <w:rFonts w:ascii="Bookman Old Style" w:hAnsi="Bookman Old Style"/>
          <w:sz w:val="26"/>
        </w:rPr>
        <w:t xml:space="preserve"> should also be given.  If there is evidence of superseding cause, </w:t>
      </w:r>
      <w:r w:rsidR="00E66FA9">
        <w:rPr>
          <w:rFonts w:ascii="Bookman Old Style" w:hAnsi="Bookman Old Style"/>
          <w:sz w:val="26"/>
        </w:rPr>
        <w:t>I</w:t>
      </w:r>
      <w:r>
        <w:rPr>
          <w:rFonts w:ascii="Bookman Old Style" w:hAnsi="Bookman Old Style"/>
          <w:sz w:val="26"/>
        </w:rPr>
        <w:t>nstruction 3.0</w:t>
      </w:r>
      <w:r w:rsidR="00D9031B">
        <w:rPr>
          <w:rFonts w:ascii="Bookman Old Style" w:hAnsi="Bookman Old Style"/>
          <w:sz w:val="26"/>
        </w:rPr>
        <w:t>9 (Superseding Cause)</w:t>
      </w:r>
      <w:r>
        <w:rPr>
          <w:rFonts w:ascii="Bookman Old Style" w:hAnsi="Bookman Old Style"/>
          <w:sz w:val="26"/>
        </w:rPr>
        <w:t xml:space="preserve"> should be given.  </w:t>
      </w:r>
    </w:p>
    <w:p w:rsidR="000603A0" w:rsidRDefault="000603A0" w:rsidP="00D9031B">
      <w:pPr>
        <w:jc w:val="both"/>
        <w:rPr>
          <w:rFonts w:ascii="Bookman Old Style" w:hAnsi="Bookman Old Style"/>
          <w:sz w:val="26"/>
        </w:rPr>
      </w:pPr>
    </w:p>
    <w:p w:rsidR="000603A0" w:rsidRDefault="000603A0" w:rsidP="00D9031B">
      <w:pPr>
        <w:pStyle w:val="OmniPage9"/>
        <w:tabs>
          <w:tab w:val="right" w:pos="5590"/>
          <w:tab w:val="left" w:pos="8280"/>
        </w:tabs>
        <w:spacing w:line="240" w:lineRule="auto"/>
        <w:jc w:val="center"/>
        <w:rPr>
          <w:rFonts w:ascii="Bookman Old Style" w:hAnsi="Bookman Old Style"/>
          <w:sz w:val="26"/>
          <w:u w:val="single"/>
        </w:rPr>
      </w:pPr>
      <w:r>
        <w:rPr>
          <w:rFonts w:ascii="Bookman Old Style" w:hAnsi="Bookman Old Style"/>
          <w:sz w:val="26"/>
          <w:u w:val="single"/>
        </w:rPr>
        <w:t>Comment</w:t>
      </w:r>
    </w:p>
    <w:p w:rsidR="000603A0" w:rsidRDefault="000603A0" w:rsidP="00D9031B">
      <w:pPr>
        <w:jc w:val="both"/>
        <w:rPr>
          <w:rFonts w:ascii="Bookman Old Style" w:hAnsi="Bookman Old Style"/>
          <w:sz w:val="26"/>
        </w:rPr>
      </w:pPr>
    </w:p>
    <w:p w:rsidR="00752C06" w:rsidRDefault="000603A0" w:rsidP="00D9031B">
      <w:pPr>
        <w:widowControl w:val="0"/>
        <w:autoSpaceDE w:val="0"/>
        <w:autoSpaceDN w:val="0"/>
        <w:adjustRightInd w:val="0"/>
        <w:jc w:val="both"/>
        <w:rPr>
          <w:rFonts w:ascii="Bookman Old Style" w:hAnsi="Bookman Old Style"/>
          <w:sz w:val="26"/>
          <w:szCs w:val="26"/>
        </w:rPr>
      </w:pPr>
      <w:r>
        <w:rPr>
          <w:rFonts w:ascii="Bookman Old Style" w:hAnsi="Bookman Old Style"/>
          <w:sz w:val="26"/>
        </w:rPr>
        <w:t xml:space="preserve">This instruction </w:t>
      </w:r>
      <w:r w:rsidR="00D006B8">
        <w:rPr>
          <w:rFonts w:ascii="Bookman Old Style" w:hAnsi="Bookman Old Style"/>
          <w:sz w:val="26"/>
        </w:rPr>
        <w:t>uses</w:t>
      </w:r>
      <w:r w:rsidR="00B648FF">
        <w:rPr>
          <w:rFonts w:ascii="Bookman Old Style" w:hAnsi="Bookman Old Style"/>
          <w:sz w:val="26"/>
        </w:rPr>
        <w:t xml:space="preserve"> more understandable language for </w:t>
      </w:r>
      <w:r w:rsidR="00D006B8">
        <w:rPr>
          <w:rFonts w:ascii="Bookman Old Style" w:hAnsi="Bookman Old Style"/>
          <w:sz w:val="26"/>
        </w:rPr>
        <w:t xml:space="preserve">the traditional legal phrases </w:t>
      </w:r>
      <w:r w:rsidR="00B648FF">
        <w:rPr>
          <w:rFonts w:ascii="Bookman Old Style" w:hAnsi="Bookman Old Style"/>
          <w:sz w:val="26"/>
        </w:rPr>
        <w:t>“but for”</w:t>
      </w:r>
      <w:r w:rsidR="00D006B8">
        <w:rPr>
          <w:rFonts w:ascii="Bookman Old Style" w:hAnsi="Bookman Old Style"/>
          <w:sz w:val="26"/>
        </w:rPr>
        <w:t xml:space="preserve"> and “legal causation.”</w:t>
      </w:r>
      <w:r w:rsidR="00B648FF">
        <w:rPr>
          <w:rFonts w:ascii="Bookman Old Style" w:hAnsi="Bookman Old Style"/>
          <w:sz w:val="26"/>
        </w:rPr>
        <w:t xml:space="preserve"> </w:t>
      </w:r>
      <w:r w:rsidR="00EB78B5">
        <w:rPr>
          <w:rFonts w:ascii="Bookman Old Style" w:hAnsi="Bookman Old Style"/>
          <w:sz w:val="26"/>
        </w:rPr>
        <w:t xml:space="preserve">The </w:t>
      </w:r>
      <w:smartTag w:uri="urn:schemas-microsoft-com:office:smarttags" w:element="State">
        <w:smartTag w:uri="urn:schemas-microsoft-com:office:smarttags" w:element="place">
          <w:r w:rsidRPr="006241E6">
            <w:rPr>
              <w:rFonts w:ascii="Bookman Old Style" w:hAnsi="Bookman Old Style"/>
              <w:color w:val="000000"/>
              <w:sz w:val="26"/>
              <w:szCs w:val="26"/>
            </w:rPr>
            <w:t>Alaska</w:t>
          </w:r>
        </w:smartTag>
      </w:smartTag>
      <w:r w:rsidRPr="006241E6">
        <w:rPr>
          <w:rFonts w:ascii="Bookman Old Style" w:hAnsi="Bookman Old Style"/>
          <w:color w:val="000000"/>
          <w:sz w:val="26"/>
          <w:szCs w:val="26"/>
        </w:rPr>
        <w:t xml:space="preserve"> causation </w:t>
      </w:r>
      <w:r w:rsidR="00EB78B5">
        <w:rPr>
          <w:rFonts w:ascii="Bookman Old Style" w:hAnsi="Bookman Old Style"/>
          <w:color w:val="000000"/>
          <w:sz w:val="26"/>
          <w:szCs w:val="26"/>
        </w:rPr>
        <w:t>test is substantial factor</w:t>
      </w:r>
      <w:r w:rsidR="00752C06">
        <w:rPr>
          <w:rFonts w:ascii="Bookman Old Style" w:hAnsi="Bookman Old Style"/>
          <w:color w:val="000000"/>
          <w:sz w:val="26"/>
          <w:szCs w:val="26"/>
        </w:rPr>
        <w:t xml:space="preserve">. </w:t>
      </w:r>
      <w:bookmarkStart w:id="1" w:name="Document0zzSDUNumber1"/>
      <w:bookmarkEnd w:id="1"/>
      <w:r w:rsidR="00D33597" w:rsidRPr="00C64266">
        <w:rPr>
          <w:rFonts w:ascii="Bookman Old Style" w:hAnsi="Bookman Old Style"/>
          <w:i/>
          <w:color w:val="000000"/>
          <w:sz w:val="26"/>
          <w:szCs w:val="26"/>
        </w:rPr>
        <w:t>E.g.,</w:t>
      </w:r>
      <w:r w:rsidR="00D33597">
        <w:rPr>
          <w:rFonts w:ascii="Bookman Old Style" w:hAnsi="Bookman Old Style"/>
          <w:color w:val="000000"/>
          <w:sz w:val="26"/>
          <w:szCs w:val="26"/>
        </w:rPr>
        <w:t xml:space="preserve"> </w:t>
      </w:r>
      <w:r w:rsidR="00752C06" w:rsidRPr="00752C06">
        <w:rPr>
          <w:rFonts w:ascii="Bookman Old Style" w:hAnsi="Bookman Old Style"/>
          <w:i/>
          <w:sz w:val="26"/>
          <w:szCs w:val="26"/>
        </w:rPr>
        <w:t>Osborne v. Russel</w:t>
      </w:r>
      <w:r w:rsidR="00C64266">
        <w:rPr>
          <w:rFonts w:ascii="Bookman Old Style" w:hAnsi="Bookman Old Style"/>
          <w:i/>
          <w:sz w:val="26"/>
          <w:szCs w:val="26"/>
        </w:rPr>
        <w:t>l</w:t>
      </w:r>
      <w:r w:rsidR="00752C06" w:rsidRPr="00752C06">
        <w:rPr>
          <w:rFonts w:ascii="Bookman Old Style" w:hAnsi="Bookman Old Style"/>
          <w:sz w:val="26"/>
          <w:szCs w:val="26"/>
        </w:rPr>
        <w:t>, 669 P.2d 550, 555 (</w:t>
      </w:r>
      <w:smartTag w:uri="urn:schemas-microsoft-com:office:smarttags" w:element="State">
        <w:smartTag w:uri="urn:schemas-microsoft-com:office:smarttags" w:element="place">
          <w:r w:rsidR="00752C06" w:rsidRPr="00752C06">
            <w:rPr>
              <w:rFonts w:ascii="Bookman Old Style" w:hAnsi="Bookman Old Style"/>
              <w:sz w:val="26"/>
              <w:szCs w:val="26"/>
            </w:rPr>
            <w:t>Alaska</w:t>
          </w:r>
        </w:smartTag>
      </w:smartTag>
      <w:r w:rsidR="00752C06" w:rsidRPr="00752C06">
        <w:rPr>
          <w:rFonts w:ascii="Bookman Old Style" w:hAnsi="Bookman Old Style"/>
          <w:sz w:val="26"/>
          <w:szCs w:val="26"/>
        </w:rPr>
        <w:t xml:space="preserve"> </w:t>
      </w:r>
      <w:r w:rsidR="00C64266">
        <w:rPr>
          <w:rFonts w:ascii="Bookman Old Style" w:hAnsi="Bookman Old Style"/>
          <w:sz w:val="26"/>
          <w:szCs w:val="26"/>
        </w:rPr>
        <w:t>19</w:t>
      </w:r>
      <w:r w:rsidR="00752C06" w:rsidRPr="00752C06">
        <w:rPr>
          <w:rFonts w:ascii="Bookman Old Style" w:hAnsi="Bookman Old Style"/>
          <w:sz w:val="26"/>
          <w:szCs w:val="26"/>
        </w:rPr>
        <w:t>83)</w:t>
      </w:r>
      <w:r w:rsidR="00752C06">
        <w:rPr>
          <w:rFonts w:ascii="Bookman Old Style" w:hAnsi="Bookman Old Style"/>
          <w:sz w:val="26"/>
          <w:szCs w:val="26"/>
        </w:rPr>
        <w:t>.  The test has been described as follows:</w:t>
      </w:r>
    </w:p>
    <w:p w:rsidR="00B3315A" w:rsidRDefault="00B3315A" w:rsidP="00D9031B">
      <w:pPr>
        <w:widowControl w:val="0"/>
        <w:autoSpaceDE w:val="0"/>
        <w:autoSpaceDN w:val="0"/>
        <w:adjustRightInd w:val="0"/>
        <w:jc w:val="both"/>
      </w:pPr>
    </w:p>
    <w:p w:rsidR="000603A0" w:rsidRPr="00E55BA1" w:rsidRDefault="000603A0" w:rsidP="00D9031B">
      <w:pPr>
        <w:widowControl w:val="0"/>
        <w:autoSpaceDE w:val="0"/>
        <w:autoSpaceDN w:val="0"/>
        <w:adjustRightInd w:val="0"/>
        <w:ind w:left="720" w:right="720"/>
        <w:jc w:val="both"/>
        <w:rPr>
          <w:rFonts w:ascii="Bookman Old Style" w:hAnsi="Bookman Old Style"/>
          <w:sz w:val="26"/>
          <w:szCs w:val="26"/>
        </w:rPr>
      </w:pPr>
      <w:r>
        <w:rPr>
          <w:rFonts w:ascii="Bookman Old Style" w:hAnsi="Bookman Old Style"/>
          <w:color w:val="000000"/>
          <w:sz w:val="26"/>
          <w:szCs w:val="26"/>
        </w:rPr>
        <w:t>[T]</w:t>
      </w:r>
      <w:r w:rsidRPr="00E55BA1">
        <w:rPr>
          <w:rFonts w:ascii="Bookman Old Style" w:hAnsi="Bookman Old Style"/>
          <w:color w:val="000000"/>
          <w:sz w:val="26"/>
          <w:szCs w:val="26"/>
        </w:rPr>
        <w:t xml:space="preserve">he elements of proximate cause: [n]egligent conduct may be found to be the </w:t>
      </w:r>
      <w:r>
        <w:rPr>
          <w:rFonts w:ascii="Bookman Old Style" w:hAnsi="Bookman Old Style"/>
          <w:color w:val="000000"/>
          <w:sz w:val="26"/>
          <w:szCs w:val="26"/>
        </w:rPr>
        <w:t>‘</w:t>
      </w:r>
      <w:r w:rsidRPr="00E55BA1">
        <w:rPr>
          <w:rFonts w:ascii="Bookman Old Style" w:hAnsi="Bookman Old Style"/>
          <w:color w:val="000000"/>
          <w:sz w:val="26"/>
          <w:szCs w:val="26"/>
        </w:rPr>
        <w:t>legal cause</w:t>
      </w:r>
      <w:r>
        <w:rPr>
          <w:rFonts w:ascii="Bookman Old Style" w:hAnsi="Bookman Old Style"/>
          <w:color w:val="000000"/>
          <w:sz w:val="26"/>
          <w:szCs w:val="26"/>
        </w:rPr>
        <w:t>’</w:t>
      </w:r>
      <w:r w:rsidRPr="00E55BA1">
        <w:rPr>
          <w:rFonts w:ascii="Bookman Old Style" w:hAnsi="Bookman Old Style"/>
          <w:color w:val="000000"/>
          <w:sz w:val="26"/>
          <w:szCs w:val="26"/>
        </w:rPr>
        <w:t xml:space="preserve"> of harm if the negligent act </w:t>
      </w:r>
      <w:r>
        <w:rPr>
          <w:rFonts w:ascii="Bookman Old Style" w:hAnsi="Bookman Old Style"/>
          <w:color w:val="000000"/>
          <w:sz w:val="26"/>
          <w:szCs w:val="26"/>
        </w:rPr>
        <w:t>‘</w:t>
      </w:r>
      <w:r w:rsidRPr="00E55BA1">
        <w:rPr>
          <w:rFonts w:ascii="Bookman Old Style" w:hAnsi="Bookman Old Style"/>
          <w:color w:val="000000"/>
          <w:sz w:val="26"/>
          <w:szCs w:val="26"/>
        </w:rPr>
        <w:t>was more likely than not a substantial factor in bringing about [the] injury</w:t>
      </w:r>
      <w:r>
        <w:rPr>
          <w:rFonts w:ascii="Bookman Old Style" w:hAnsi="Bookman Old Style"/>
          <w:color w:val="000000"/>
          <w:sz w:val="26"/>
          <w:szCs w:val="26"/>
        </w:rPr>
        <w:t>’</w:t>
      </w:r>
      <w:r w:rsidRPr="00E55BA1">
        <w:rPr>
          <w:rFonts w:ascii="Bookman Old Style" w:hAnsi="Bookman Old Style"/>
          <w:color w:val="000000"/>
          <w:sz w:val="26"/>
          <w:szCs w:val="26"/>
        </w:rPr>
        <w:t>.</w:t>
      </w:r>
      <w:r w:rsidR="00E024BB">
        <w:rPr>
          <w:rFonts w:ascii="Bookman Old Style" w:hAnsi="Bookman Old Style"/>
          <w:color w:val="000000"/>
          <w:sz w:val="26"/>
          <w:szCs w:val="26"/>
        </w:rPr>
        <w:t xml:space="preserve"> </w:t>
      </w:r>
      <w:r w:rsidRPr="00E55BA1">
        <w:rPr>
          <w:rFonts w:ascii="Bookman Old Style" w:hAnsi="Bookman Old Style"/>
          <w:color w:val="000000"/>
          <w:sz w:val="26"/>
          <w:szCs w:val="26"/>
        </w:rPr>
        <w:t>.</w:t>
      </w:r>
      <w:r w:rsidR="00E024BB">
        <w:rPr>
          <w:rFonts w:ascii="Bookman Old Style" w:hAnsi="Bookman Old Style"/>
          <w:color w:val="000000"/>
          <w:sz w:val="26"/>
          <w:szCs w:val="26"/>
        </w:rPr>
        <w:t xml:space="preserve"> </w:t>
      </w:r>
      <w:r w:rsidRPr="00E55BA1">
        <w:rPr>
          <w:rFonts w:ascii="Bookman Old Style" w:hAnsi="Bookman Old Style"/>
          <w:color w:val="000000"/>
          <w:sz w:val="26"/>
          <w:szCs w:val="26"/>
        </w:rPr>
        <w:t>.</w:t>
      </w:r>
      <w:r w:rsidR="00E024BB">
        <w:rPr>
          <w:rFonts w:ascii="Bookman Old Style" w:hAnsi="Bookman Old Style"/>
          <w:color w:val="000000"/>
          <w:sz w:val="26"/>
          <w:szCs w:val="26"/>
        </w:rPr>
        <w:t xml:space="preserve"> </w:t>
      </w:r>
      <w:r w:rsidR="00C52C00">
        <w:rPr>
          <w:rFonts w:ascii="Bookman Old Style" w:hAnsi="Bookman Old Style"/>
          <w:color w:val="000000"/>
          <w:sz w:val="26"/>
          <w:szCs w:val="26"/>
        </w:rPr>
        <w:t>.</w:t>
      </w:r>
    </w:p>
    <w:p w:rsidR="000603A0" w:rsidRPr="00E55BA1" w:rsidRDefault="000603A0" w:rsidP="00D9031B">
      <w:pPr>
        <w:widowControl w:val="0"/>
        <w:autoSpaceDE w:val="0"/>
        <w:autoSpaceDN w:val="0"/>
        <w:adjustRightInd w:val="0"/>
        <w:ind w:left="720" w:right="720"/>
        <w:jc w:val="both"/>
        <w:rPr>
          <w:rFonts w:ascii="Bookman Old Style" w:hAnsi="Bookman Old Style"/>
          <w:sz w:val="26"/>
          <w:szCs w:val="26"/>
        </w:rPr>
      </w:pPr>
      <w:r w:rsidRPr="00E55BA1">
        <w:rPr>
          <w:rFonts w:ascii="Bookman Old Style" w:hAnsi="Bookman Old Style"/>
          <w:color w:val="000000"/>
          <w:sz w:val="26"/>
          <w:szCs w:val="26"/>
        </w:rPr>
        <w:lastRenderedPageBreak/>
        <w:t xml:space="preserve">Normally, in order to satisfy the substantial factor test it must be shown </w:t>
      </w:r>
      <w:bookmarkStart w:id="2" w:name="Document1zzSDUNumber11"/>
      <w:bookmarkEnd w:id="2"/>
      <w:r w:rsidRPr="00E55BA1">
        <w:rPr>
          <w:rFonts w:ascii="Bookman Old Style" w:hAnsi="Bookman Old Style"/>
          <w:i/>
          <w:iCs/>
          <w:color w:val="000000"/>
          <w:sz w:val="26"/>
          <w:szCs w:val="26"/>
        </w:rPr>
        <w:t>both</w:t>
      </w:r>
      <w:r w:rsidRPr="00E55BA1">
        <w:rPr>
          <w:rFonts w:ascii="Bookman Old Style" w:hAnsi="Bookman Old Style"/>
          <w:color w:val="000000"/>
          <w:sz w:val="26"/>
          <w:szCs w:val="26"/>
        </w:rPr>
        <w:t xml:space="preserve"> that the accident would not have happened </w:t>
      </w:r>
      <w:r>
        <w:rPr>
          <w:rFonts w:ascii="Bookman Old Style" w:hAnsi="Bookman Old Style"/>
          <w:color w:val="000000"/>
          <w:sz w:val="26"/>
          <w:szCs w:val="26"/>
        </w:rPr>
        <w:t>‘</w:t>
      </w:r>
      <w:r w:rsidRPr="00E55BA1">
        <w:rPr>
          <w:rFonts w:ascii="Bookman Old Style" w:hAnsi="Bookman Old Style"/>
          <w:color w:val="000000"/>
          <w:sz w:val="26"/>
          <w:szCs w:val="26"/>
        </w:rPr>
        <w:t>but for</w:t>
      </w:r>
      <w:r>
        <w:rPr>
          <w:rFonts w:ascii="Bookman Old Style" w:hAnsi="Bookman Old Style"/>
          <w:color w:val="000000"/>
          <w:sz w:val="26"/>
          <w:szCs w:val="26"/>
        </w:rPr>
        <w:t>’</w:t>
      </w:r>
      <w:r w:rsidRPr="00E55BA1">
        <w:rPr>
          <w:rFonts w:ascii="Bookman Old Style" w:hAnsi="Bookman Old Style"/>
          <w:color w:val="000000"/>
          <w:sz w:val="26"/>
          <w:szCs w:val="26"/>
        </w:rPr>
        <w:t xml:space="preserve"> the defendant's negligence and that the negligent act was so important in bringing about the injury that reasonable men would regard it as a cause and attach responsibility to it. </w:t>
      </w:r>
    </w:p>
    <w:p w:rsidR="000603A0" w:rsidRPr="00E55BA1" w:rsidRDefault="000603A0" w:rsidP="00D9031B">
      <w:pPr>
        <w:rPr>
          <w:rFonts w:ascii="Bookman Old Style" w:hAnsi="Bookman Old Style"/>
          <w:sz w:val="26"/>
          <w:szCs w:val="26"/>
        </w:rPr>
      </w:pPr>
    </w:p>
    <w:p w:rsidR="000603A0" w:rsidRPr="004570F6" w:rsidRDefault="000603A0" w:rsidP="00D9031B">
      <w:pPr>
        <w:jc w:val="both"/>
        <w:rPr>
          <w:rFonts w:ascii="Bookman Old Style" w:hAnsi="Bookman Old Style"/>
          <w:sz w:val="26"/>
          <w:szCs w:val="26"/>
        </w:rPr>
      </w:pPr>
      <w:r w:rsidRPr="00495A34">
        <w:rPr>
          <w:rFonts w:ascii="Bookman Old Style" w:hAnsi="Bookman Old Style"/>
          <w:bCs/>
          <w:i/>
          <w:sz w:val="26"/>
          <w:szCs w:val="26"/>
        </w:rPr>
        <w:t>Gonzales v. Krueger</w:t>
      </w:r>
      <w:r>
        <w:rPr>
          <w:rFonts w:ascii="Bookman Old Style" w:hAnsi="Bookman Old Style"/>
          <w:bCs/>
          <w:sz w:val="26"/>
          <w:szCs w:val="26"/>
        </w:rPr>
        <w:t>,</w:t>
      </w:r>
      <w:r w:rsidRPr="00E55BA1">
        <w:rPr>
          <w:rFonts w:ascii="Bookman Old Style" w:hAnsi="Bookman Old Style"/>
          <w:bCs/>
          <w:sz w:val="26"/>
          <w:szCs w:val="26"/>
        </w:rPr>
        <w:t xml:space="preserve"> 799 P.2d 1318, 1320 (Alaska1990)(citations omitted).</w:t>
      </w:r>
      <w:r>
        <w:rPr>
          <w:rFonts w:ascii="Bookman Old Style" w:hAnsi="Bookman Old Style"/>
          <w:bCs/>
          <w:sz w:val="26"/>
          <w:szCs w:val="26"/>
        </w:rPr>
        <w:t xml:space="preserve">  </w:t>
      </w:r>
      <w:r w:rsidRPr="00C64266">
        <w:rPr>
          <w:rFonts w:ascii="Bookman Old Style" w:hAnsi="Bookman Old Style"/>
          <w:bCs/>
          <w:i/>
          <w:sz w:val="26"/>
          <w:szCs w:val="26"/>
        </w:rPr>
        <w:t>E.g.,</w:t>
      </w:r>
      <w:r>
        <w:rPr>
          <w:rFonts w:ascii="Bookman Old Style" w:hAnsi="Bookman Old Style"/>
          <w:bCs/>
          <w:sz w:val="26"/>
          <w:szCs w:val="26"/>
        </w:rPr>
        <w:t xml:space="preserve"> </w:t>
      </w:r>
      <w:r w:rsidRPr="00495A34">
        <w:rPr>
          <w:rFonts w:ascii="Bookman Old Style" w:hAnsi="Bookman Old Style" w:cs="Tahoma"/>
          <w:i/>
          <w:sz w:val="26"/>
          <w:szCs w:val="26"/>
        </w:rPr>
        <w:t>Robles v. Shoreside Petroleum, Inc.</w:t>
      </w:r>
      <w:r w:rsidRPr="009B5A6C">
        <w:rPr>
          <w:rFonts w:ascii="Bookman Old Style" w:hAnsi="Bookman Old Style" w:cs="Tahoma"/>
          <w:sz w:val="26"/>
          <w:szCs w:val="26"/>
        </w:rPr>
        <w:t>, 29 P.3d 838, 8</w:t>
      </w:r>
      <w:r>
        <w:rPr>
          <w:rFonts w:ascii="Bookman Old Style" w:hAnsi="Bookman Old Style" w:cs="Tahoma"/>
          <w:sz w:val="26"/>
          <w:szCs w:val="26"/>
        </w:rPr>
        <w:t>4</w:t>
      </w:r>
      <w:r w:rsidRPr="009B5A6C">
        <w:rPr>
          <w:rFonts w:ascii="Bookman Old Style" w:hAnsi="Bookman Old Style" w:cs="Tahoma"/>
          <w:sz w:val="26"/>
          <w:szCs w:val="26"/>
        </w:rPr>
        <w:t>1 (Alaska 2001)</w:t>
      </w:r>
      <w:r>
        <w:rPr>
          <w:rFonts w:ascii="Bookman Old Style" w:hAnsi="Bookman Old Style"/>
          <w:sz w:val="26"/>
        </w:rPr>
        <w:t>.</w:t>
      </w:r>
    </w:p>
    <w:p w:rsidR="00377BB3" w:rsidRDefault="00377BB3" w:rsidP="00D9031B">
      <w:pPr>
        <w:jc w:val="both"/>
        <w:rPr>
          <w:rFonts w:ascii="Bookman Old Style" w:hAnsi="Bookman Old Style"/>
          <w:sz w:val="26"/>
        </w:rPr>
      </w:pPr>
    </w:p>
    <w:p w:rsidR="0073413A" w:rsidRDefault="0073413A" w:rsidP="00D9031B">
      <w:pPr>
        <w:pStyle w:val="OmniPage7"/>
        <w:spacing w:line="240" w:lineRule="auto"/>
        <w:jc w:val="both"/>
        <w:rPr>
          <w:rFonts w:ascii="Bookman Old Style" w:hAnsi="Bookman Old Style"/>
          <w:sz w:val="26"/>
        </w:rPr>
      </w:pPr>
      <w:r>
        <w:rPr>
          <w:rFonts w:ascii="Bookman Old Style" w:hAnsi="Bookman Old Style"/>
          <w:sz w:val="26"/>
        </w:rPr>
        <w:t xml:space="preserve">Enumerated paragraph 1 </w:t>
      </w:r>
      <w:r w:rsidR="0047195C">
        <w:rPr>
          <w:rFonts w:ascii="Bookman Old Style" w:hAnsi="Bookman Old Style"/>
          <w:sz w:val="26"/>
        </w:rPr>
        <w:t>of Instruction 3.06</w:t>
      </w:r>
      <w:r>
        <w:rPr>
          <w:rFonts w:ascii="Bookman Old Style" w:hAnsi="Bookman Old Style"/>
          <w:sz w:val="26"/>
        </w:rPr>
        <w:t xml:space="preserve"> sets out the </w:t>
      </w:r>
      <w:r w:rsidR="00882F36">
        <w:rPr>
          <w:rFonts w:ascii="Bookman Old Style" w:hAnsi="Bookman Old Style"/>
          <w:sz w:val="26"/>
        </w:rPr>
        <w:t xml:space="preserve">test for </w:t>
      </w:r>
      <w:r>
        <w:rPr>
          <w:rFonts w:ascii="Bookman Old Style" w:hAnsi="Bookman Old Style"/>
          <w:sz w:val="26"/>
        </w:rPr>
        <w:t xml:space="preserve">cause in fact. </w:t>
      </w:r>
      <w:r w:rsidRPr="00C64266">
        <w:rPr>
          <w:rFonts w:ascii="Bookman Old Style" w:hAnsi="Bookman Old Style"/>
          <w:i/>
          <w:sz w:val="26"/>
        </w:rPr>
        <w:t>See,</w:t>
      </w:r>
      <w:r w:rsidR="00FA1958" w:rsidRPr="00C64266">
        <w:rPr>
          <w:rFonts w:ascii="Bookman Old Style" w:hAnsi="Bookman Old Style"/>
          <w:i/>
          <w:sz w:val="26"/>
        </w:rPr>
        <w:t xml:space="preserve"> e.g.,</w:t>
      </w:r>
      <w:r>
        <w:rPr>
          <w:rFonts w:ascii="Bookman Old Style" w:hAnsi="Bookman Old Style"/>
          <w:sz w:val="26"/>
        </w:rPr>
        <w:t xml:space="preserve"> </w:t>
      </w:r>
      <w:r w:rsidRPr="00495A34">
        <w:rPr>
          <w:rFonts w:ascii="Bookman Old Style" w:hAnsi="Bookman Old Style" w:cs="Tahoma"/>
          <w:i/>
          <w:sz w:val="26"/>
          <w:szCs w:val="26"/>
        </w:rPr>
        <w:t xml:space="preserve">Vincent </w:t>
      </w:r>
      <w:r w:rsidR="00C64266">
        <w:rPr>
          <w:rFonts w:ascii="Bookman Old Style" w:hAnsi="Bookman Old Style" w:cs="Tahoma"/>
          <w:i/>
          <w:sz w:val="26"/>
          <w:szCs w:val="26"/>
        </w:rPr>
        <w:t>b</w:t>
      </w:r>
      <w:r w:rsidRPr="00495A34">
        <w:rPr>
          <w:rFonts w:ascii="Bookman Old Style" w:hAnsi="Bookman Old Style" w:cs="Tahoma"/>
          <w:i/>
          <w:sz w:val="26"/>
          <w:szCs w:val="26"/>
        </w:rPr>
        <w:t>y Staton v. Fairbanks Memorial Hospital</w:t>
      </w:r>
      <w:r w:rsidRPr="009B5A6C">
        <w:rPr>
          <w:rFonts w:ascii="Bookman Old Style" w:hAnsi="Bookman Old Style" w:cs="Tahoma"/>
          <w:sz w:val="26"/>
          <w:szCs w:val="26"/>
        </w:rPr>
        <w:t>, 862 P.2d 847, 85</w:t>
      </w:r>
      <w:r>
        <w:rPr>
          <w:rFonts w:ascii="Bookman Old Style" w:hAnsi="Bookman Old Style" w:cs="Tahoma"/>
          <w:sz w:val="26"/>
          <w:szCs w:val="26"/>
        </w:rPr>
        <w:t>1 (</w:t>
      </w:r>
      <w:smartTag w:uri="urn:schemas-microsoft-com:office:smarttags" w:element="State">
        <w:smartTag w:uri="urn:schemas-microsoft-com:office:smarttags" w:element="place">
          <w:r w:rsidRPr="009B5A6C">
            <w:rPr>
              <w:rFonts w:ascii="Bookman Old Style" w:hAnsi="Bookman Old Style" w:cs="Tahoma"/>
              <w:sz w:val="26"/>
              <w:szCs w:val="26"/>
            </w:rPr>
            <w:t>Alaska</w:t>
          </w:r>
        </w:smartTag>
      </w:smartTag>
      <w:r w:rsidRPr="009B5A6C">
        <w:rPr>
          <w:rFonts w:ascii="Bookman Old Style" w:hAnsi="Bookman Old Style" w:cs="Tahoma"/>
          <w:sz w:val="26"/>
          <w:szCs w:val="26"/>
        </w:rPr>
        <w:t xml:space="preserve"> 1993)</w:t>
      </w:r>
      <w:r>
        <w:rPr>
          <w:rFonts w:ascii="Bookman Old Style" w:hAnsi="Bookman Old Style"/>
          <w:sz w:val="26"/>
        </w:rPr>
        <w:t xml:space="preserve">. Enumerated paragraph 2 sets out the test for legal cause. </w:t>
      </w:r>
      <w:r w:rsidR="00FA1958" w:rsidRPr="00C64266">
        <w:rPr>
          <w:rFonts w:ascii="Bookman Old Style" w:hAnsi="Bookman Old Style"/>
          <w:i/>
          <w:sz w:val="26"/>
        </w:rPr>
        <w:t>See, e.g.,</w:t>
      </w:r>
      <w:r w:rsidR="00FA1958">
        <w:rPr>
          <w:rFonts w:ascii="Bookman Old Style" w:hAnsi="Bookman Old Style"/>
          <w:sz w:val="26"/>
        </w:rPr>
        <w:t xml:space="preserve"> </w:t>
      </w:r>
      <w:r w:rsidR="00C64266">
        <w:rPr>
          <w:rFonts w:ascii="Bookman Old Style" w:hAnsi="Bookman Old Style"/>
          <w:i/>
          <w:sz w:val="26"/>
        </w:rPr>
        <w:t>i</w:t>
      </w:r>
      <w:r w:rsidR="004E101F">
        <w:rPr>
          <w:rFonts w:ascii="Bookman Old Style" w:hAnsi="Bookman Old Style"/>
          <w:i/>
          <w:sz w:val="26"/>
        </w:rPr>
        <w:t xml:space="preserve">d. </w:t>
      </w:r>
      <w:r w:rsidR="0047195C">
        <w:rPr>
          <w:rFonts w:ascii="Bookman Old Style" w:hAnsi="Bookman Old Style"/>
          <w:sz w:val="26"/>
        </w:rPr>
        <w:t>at 851.</w:t>
      </w:r>
      <w:r>
        <w:rPr>
          <w:rFonts w:ascii="Bookman Old Style" w:hAnsi="Bookman Old Style"/>
          <w:sz w:val="26"/>
        </w:rPr>
        <w:t xml:space="preserve"> </w:t>
      </w:r>
      <w:r w:rsidR="003D75D8">
        <w:rPr>
          <w:rFonts w:ascii="Bookman Old Style" w:hAnsi="Bookman Old Style"/>
          <w:sz w:val="26"/>
        </w:rPr>
        <w:t xml:space="preserve">The bracketed paragraph sets out the exception to the </w:t>
      </w:r>
      <w:r w:rsidR="00882F36">
        <w:rPr>
          <w:rFonts w:ascii="Bookman Old Style" w:hAnsi="Bookman Old Style"/>
          <w:sz w:val="26"/>
        </w:rPr>
        <w:t>cause in fact test</w:t>
      </w:r>
      <w:r w:rsidR="003D75D8">
        <w:rPr>
          <w:rFonts w:ascii="Bookman Old Style" w:hAnsi="Bookman Old Style"/>
          <w:sz w:val="26"/>
        </w:rPr>
        <w:t xml:space="preserve">.  </w:t>
      </w:r>
      <w:r w:rsidR="00FA1958" w:rsidRPr="00E024BB">
        <w:rPr>
          <w:rFonts w:ascii="Bookman Old Style" w:hAnsi="Bookman Old Style"/>
          <w:i/>
          <w:iCs/>
          <w:sz w:val="26"/>
        </w:rPr>
        <w:t>See, e.g.,</w:t>
      </w:r>
      <w:r w:rsidR="00FA1958">
        <w:rPr>
          <w:rFonts w:ascii="Bookman Old Style" w:hAnsi="Bookman Old Style"/>
          <w:sz w:val="26"/>
        </w:rPr>
        <w:t xml:space="preserve"> </w:t>
      </w:r>
      <w:r w:rsidR="00153E9C">
        <w:rPr>
          <w:rFonts w:ascii="Bookman Old Style" w:hAnsi="Bookman Old Style"/>
          <w:i/>
          <w:sz w:val="26"/>
        </w:rPr>
        <w:t>i</w:t>
      </w:r>
      <w:r w:rsidR="004E101F">
        <w:rPr>
          <w:rFonts w:ascii="Bookman Old Style" w:hAnsi="Bookman Old Style"/>
          <w:i/>
          <w:sz w:val="26"/>
        </w:rPr>
        <w:t>d.</w:t>
      </w:r>
      <w:r w:rsidR="003D75D8">
        <w:rPr>
          <w:rFonts w:ascii="Bookman Old Style" w:hAnsi="Bookman Old Style"/>
          <w:sz w:val="26"/>
        </w:rPr>
        <w:t xml:space="preserve"> at 851-</w:t>
      </w:r>
      <w:r w:rsidR="00153E9C">
        <w:rPr>
          <w:rFonts w:ascii="Bookman Old Style" w:hAnsi="Bookman Old Style"/>
          <w:sz w:val="26"/>
        </w:rPr>
        <w:t>5</w:t>
      </w:r>
      <w:r w:rsidR="003D75D8">
        <w:rPr>
          <w:rFonts w:ascii="Bookman Old Style" w:hAnsi="Bookman Old Style"/>
          <w:sz w:val="26"/>
        </w:rPr>
        <w:t>2.</w:t>
      </w:r>
    </w:p>
    <w:p w:rsidR="0073413A" w:rsidRDefault="0073413A" w:rsidP="00D9031B">
      <w:pPr>
        <w:jc w:val="both"/>
        <w:rPr>
          <w:rFonts w:ascii="Bookman Old Style" w:hAnsi="Bookman Old Style"/>
          <w:sz w:val="26"/>
        </w:rPr>
      </w:pPr>
    </w:p>
    <w:p w:rsidR="0047195C" w:rsidRDefault="00FA1958" w:rsidP="00D9031B">
      <w:pPr>
        <w:jc w:val="both"/>
        <w:rPr>
          <w:rFonts w:ascii="Bookman Old Style" w:hAnsi="Bookman Old Style"/>
          <w:sz w:val="26"/>
        </w:rPr>
      </w:pPr>
      <w:r>
        <w:rPr>
          <w:rFonts w:ascii="Bookman Old Style" w:hAnsi="Bookman Old Style"/>
          <w:sz w:val="26"/>
        </w:rPr>
        <w:t xml:space="preserve">The prior </w:t>
      </w:r>
      <w:r w:rsidR="00C64266">
        <w:rPr>
          <w:rFonts w:ascii="Bookman Old Style" w:hAnsi="Bookman Old Style"/>
          <w:sz w:val="26"/>
        </w:rPr>
        <w:t>version</w:t>
      </w:r>
      <w:r>
        <w:rPr>
          <w:rFonts w:ascii="Bookman Old Style" w:hAnsi="Bookman Old Style"/>
          <w:sz w:val="26"/>
        </w:rPr>
        <w:t xml:space="preserve"> of 3.06 </w:t>
      </w:r>
      <w:r w:rsidR="00882F36">
        <w:rPr>
          <w:rFonts w:ascii="Bookman Old Style" w:hAnsi="Bookman Old Style"/>
          <w:sz w:val="26"/>
        </w:rPr>
        <w:t xml:space="preserve">used the “but for” </w:t>
      </w:r>
      <w:r w:rsidR="00C64266">
        <w:rPr>
          <w:rFonts w:ascii="Bookman Old Style" w:hAnsi="Bookman Old Style"/>
          <w:sz w:val="26"/>
        </w:rPr>
        <w:t>language</w:t>
      </w:r>
      <w:r w:rsidR="00882F36">
        <w:rPr>
          <w:rFonts w:ascii="Bookman Old Style" w:hAnsi="Bookman Old Style"/>
          <w:sz w:val="26"/>
        </w:rPr>
        <w:t xml:space="preserve"> for cause in fact:</w:t>
      </w:r>
      <w:r>
        <w:rPr>
          <w:rFonts w:ascii="Bookman Old Style" w:hAnsi="Bookman Old Style"/>
          <w:sz w:val="26"/>
        </w:rPr>
        <w:t xml:space="preserve"> “</w:t>
      </w:r>
      <w:r w:rsidR="00397C2A">
        <w:rPr>
          <w:rFonts w:ascii="Bookman Old Style" w:hAnsi="Bookman Old Style"/>
          <w:sz w:val="26"/>
        </w:rPr>
        <w:t>the harm would not have occurred but for the act or failure to act</w:t>
      </w:r>
      <w:r>
        <w:rPr>
          <w:rFonts w:ascii="Bookman Old Style" w:hAnsi="Bookman Old Style"/>
          <w:sz w:val="26"/>
        </w:rPr>
        <w:t xml:space="preserve">.”  This </w:t>
      </w:r>
      <w:r w:rsidR="00D33597">
        <w:rPr>
          <w:rFonts w:ascii="Bookman Old Style" w:hAnsi="Bookman Old Style"/>
          <w:sz w:val="26"/>
        </w:rPr>
        <w:t xml:space="preserve">is a </w:t>
      </w:r>
      <w:r w:rsidR="00930D27">
        <w:rPr>
          <w:rFonts w:ascii="Bookman Old Style" w:hAnsi="Bookman Old Style"/>
          <w:sz w:val="26"/>
        </w:rPr>
        <w:t xml:space="preserve">typical </w:t>
      </w:r>
      <w:r w:rsidR="00D33597">
        <w:rPr>
          <w:rFonts w:ascii="Bookman Old Style" w:hAnsi="Bookman Old Style"/>
          <w:sz w:val="26"/>
        </w:rPr>
        <w:t xml:space="preserve">formulation of the cause in fact test.  </w:t>
      </w:r>
      <w:r w:rsidR="00D33597" w:rsidRPr="00C64266">
        <w:rPr>
          <w:rFonts w:ascii="Bookman Old Style" w:hAnsi="Bookman Old Style"/>
          <w:i/>
          <w:sz w:val="26"/>
        </w:rPr>
        <w:t>See, e.g.,</w:t>
      </w:r>
      <w:r w:rsidR="00D33597">
        <w:rPr>
          <w:rFonts w:ascii="Bookman Old Style" w:hAnsi="Bookman Old Style"/>
          <w:sz w:val="26"/>
        </w:rPr>
        <w:t xml:space="preserve"> </w:t>
      </w:r>
      <w:r w:rsidR="00D14AA0" w:rsidRPr="005D36A6">
        <w:rPr>
          <w:rFonts w:ascii="Bookman Old Style" w:hAnsi="Bookman Old Style"/>
          <w:i/>
          <w:color w:val="000000"/>
          <w:sz w:val="26"/>
          <w:szCs w:val="26"/>
        </w:rPr>
        <w:t>Hogg v. Raven Contractors, Inc</w:t>
      </w:r>
      <w:r w:rsidR="00D14AA0" w:rsidRPr="005D36A6">
        <w:rPr>
          <w:rFonts w:ascii="Bookman Old Style" w:hAnsi="Bookman Old Style"/>
          <w:color w:val="000000"/>
          <w:sz w:val="26"/>
          <w:szCs w:val="26"/>
        </w:rPr>
        <w:t>.,</w:t>
      </w:r>
      <w:r w:rsidR="006E44BE">
        <w:rPr>
          <w:rFonts w:ascii="Bookman Old Style" w:hAnsi="Bookman Old Style"/>
          <w:color w:val="000000"/>
          <w:sz w:val="26"/>
          <w:szCs w:val="26"/>
        </w:rPr>
        <w:t xml:space="preserve"> </w:t>
      </w:r>
      <w:r w:rsidR="006E44BE" w:rsidRPr="00E07A69">
        <w:rPr>
          <w:rFonts w:ascii="Bookman Old Style" w:hAnsi="Bookman Old Style"/>
          <w:sz w:val="26"/>
          <w:szCs w:val="26"/>
        </w:rPr>
        <w:t>134 P.3d 349, 351 (Alaska 2006)</w:t>
      </w:r>
      <w:r w:rsidR="00D14AA0">
        <w:rPr>
          <w:rFonts w:ascii="Bookman Old Style" w:hAnsi="Bookman Old Style"/>
          <w:color w:val="000000"/>
          <w:sz w:val="26"/>
          <w:szCs w:val="26"/>
        </w:rPr>
        <w:t xml:space="preserve">; </w:t>
      </w:r>
      <w:r w:rsidR="00D14AA0" w:rsidRPr="00495A34">
        <w:rPr>
          <w:rFonts w:ascii="Bookman Old Style" w:hAnsi="Bookman Old Style" w:cs="Tahoma"/>
          <w:i/>
          <w:sz w:val="26"/>
          <w:szCs w:val="26"/>
        </w:rPr>
        <w:t>Vincent</w:t>
      </w:r>
      <w:r w:rsidR="00D14AA0">
        <w:rPr>
          <w:rFonts w:ascii="Bookman Old Style" w:hAnsi="Bookman Old Style" w:cs="Tahoma"/>
          <w:i/>
          <w:sz w:val="26"/>
          <w:szCs w:val="26"/>
        </w:rPr>
        <w:t>, 862 P.2d</w:t>
      </w:r>
      <w:r w:rsidR="004E101F">
        <w:rPr>
          <w:rFonts w:ascii="Bookman Old Style" w:hAnsi="Bookman Old Style"/>
          <w:i/>
          <w:sz w:val="26"/>
        </w:rPr>
        <w:t xml:space="preserve"> </w:t>
      </w:r>
      <w:r w:rsidR="004E101F">
        <w:rPr>
          <w:rFonts w:ascii="Bookman Old Style" w:hAnsi="Bookman Old Style"/>
          <w:sz w:val="26"/>
        </w:rPr>
        <w:t>at</w:t>
      </w:r>
      <w:r w:rsidR="00EE4400">
        <w:rPr>
          <w:rFonts w:ascii="Bookman Old Style" w:hAnsi="Bookman Old Style"/>
          <w:sz w:val="26"/>
        </w:rPr>
        <w:t xml:space="preserve"> 850</w:t>
      </w:r>
      <w:r>
        <w:rPr>
          <w:rFonts w:ascii="Bookman Old Style" w:hAnsi="Bookman Old Style"/>
          <w:sz w:val="26"/>
        </w:rPr>
        <w:t xml:space="preserve">.  </w:t>
      </w:r>
      <w:r w:rsidR="0047195C">
        <w:rPr>
          <w:rFonts w:ascii="Bookman Old Style" w:hAnsi="Bookman Old Style"/>
          <w:sz w:val="26"/>
        </w:rPr>
        <w:t>The committee decided</w:t>
      </w:r>
      <w:r w:rsidR="00D33597">
        <w:rPr>
          <w:rFonts w:ascii="Bookman Old Style" w:hAnsi="Bookman Old Style"/>
          <w:sz w:val="26"/>
        </w:rPr>
        <w:t>, however, that</w:t>
      </w:r>
      <w:r w:rsidR="0047195C">
        <w:rPr>
          <w:rFonts w:ascii="Bookman Old Style" w:hAnsi="Bookman Old Style"/>
          <w:sz w:val="26"/>
        </w:rPr>
        <w:t xml:space="preserve"> </w:t>
      </w:r>
      <w:r w:rsidR="00EB78B5">
        <w:rPr>
          <w:rFonts w:ascii="Bookman Old Style" w:hAnsi="Bookman Old Style"/>
          <w:sz w:val="26"/>
        </w:rPr>
        <w:t>the test would be easier to understand i</w:t>
      </w:r>
      <w:r w:rsidR="00D33597">
        <w:rPr>
          <w:rFonts w:ascii="Bookman Old Style" w:hAnsi="Bookman Old Style"/>
          <w:sz w:val="26"/>
        </w:rPr>
        <w:t>f</w:t>
      </w:r>
      <w:r w:rsidR="00EB78B5">
        <w:rPr>
          <w:rFonts w:ascii="Bookman Old Style" w:hAnsi="Bookman Old Style"/>
          <w:sz w:val="26"/>
        </w:rPr>
        <w:t xml:space="preserve"> the instruction stated</w:t>
      </w:r>
      <w:r w:rsidR="00C64266">
        <w:rPr>
          <w:rFonts w:ascii="Bookman Old Style" w:hAnsi="Bookman Old Style"/>
          <w:sz w:val="26"/>
        </w:rPr>
        <w:t xml:space="preserve"> that</w:t>
      </w:r>
      <w:r>
        <w:rPr>
          <w:rFonts w:ascii="Bookman Old Style" w:hAnsi="Bookman Old Style"/>
          <w:sz w:val="26"/>
        </w:rPr>
        <w:t xml:space="preserve"> </w:t>
      </w:r>
      <w:r w:rsidR="00397C2A">
        <w:rPr>
          <w:rFonts w:ascii="Bookman Old Style" w:hAnsi="Bookman Old Style"/>
          <w:sz w:val="26"/>
        </w:rPr>
        <w:t>“</w:t>
      </w:r>
      <w:r>
        <w:rPr>
          <w:rFonts w:ascii="Bookman Old Style" w:hAnsi="Bookman Old Style"/>
          <w:sz w:val="26"/>
        </w:rPr>
        <w:t>t</w:t>
      </w:r>
      <w:r w:rsidR="0047195C">
        <w:rPr>
          <w:rFonts w:ascii="Bookman Old Style" w:hAnsi="Bookman Old Style"/>
          <w:sz w:val="26"/>
        </w:rPr>
        <w:t>he harm would not have occurred without the negligence.</w:t>
      </w:r>
      <w:r w:rsidR="00397C2A">
        <w:rPr>
          <w:rFonts w:ascii="Bookman Old Style" w:hAnsi="Bookman Old Style"/>
          <w:sz w:val="26"/>
        </w:rPr>
        <w:t>”</w:t>
      </w:r>
      <w:r w:rsidR="0047195C">
        <w:rPr>
          <w:rFonts w:ascii="Bookman Old Style" w:hAnsi="Bookman Old Style"/>
          <w:sz w:val="26"/>
        </w:rPr>
        <w:t xml:space="preserve">  </w:t>
      </w:r>
      <w:r w:rsidR="005D1AF7">
        <w:rPr>
          <w:rFonts w:ascii="Bookman Old Style" w:hAnsi="Bookman Old Style"/>
          <w:sz w:val="26"/>
        </w:rPr>
        <w:t xml:space="preserve">This </w:t>
      </w:r>
      <w:r w:rsidR="00EB78B5">
        <w:rPr>
          <w:rFonts w:ascii="Bookman Old Style" w:hAnsi="Bookman Old Style"/>
          <w:sz w:val="26"/>
        </w:rPr>
        <w:t xml:space="preserve">language </w:t>
      </w:r>
      <w:r w:rsidR="005D1AF7">
        <w:rPr>
          <w:rFonts w:ascii="Bookman Old Style" w:hAnsi="Bookman Old Style"/>
          <w:sz w:val="26"/>
        </w:rPr>
        <w:t>is consistent with the concept underlying the “but for” test.</w:t>
      </w:r>
      <w:r w:rsidR="00483A87">
        <w:rPr>
          <w:rFonts w:ascii="Bookman Old Style" w:hAnsi="Bookman Old Style"/>
          <w:sz w:val="26"/>
        </w:rPr>
        <w:t xml:space="preserve">  </w:t>
      </w:r>
      <w:r w:rsidR="00483A87" w:rsidRPr="00C64266">
        <w:rPr>
          <w:rFonts w:ascii="Bookman Old Style" w:hAnsi="Bookman Old Style"/>
          <w:i/>
          <w:sz w:val="26"/>
        </w:rPr>
        <w:t>See, e.g.,</w:t>
      </w:r>
      <w:r w:rsidR="00483A87">
        <w:rPr>
          <w:rFonts w:ascii="Bookman Old Style" w:hAnsi="Bookman Old Style"/>
          <w:sz w:val="26"/>
        </w:rPr>
        <w:t xml:space="preserve"> </w:t>
      </w:r>
      <w:r w:rsidR="00FE4D61" w:rsidRPr="00495A34">
        <w:rPr>
          <w:rFonts w:ascii="Bookman Old Style" w:hAnsi="Bookman Old Style"/>
          <w:bCs/>
          <w:i/>
          <w:sz w:val="26"/>
          <w:szCs w:val="26"/>
        </w:rPr>
        <w:t>Gonzales</w:t>
      </w:r>
      <w:r w:rsidR="00FE4D61">
        <w:rPr>
          <w:rFonts w:ascii="Bookman Old Style" w:hAnsi="Bookman Old Style"/>
          <w:bCs/>
          <w:sz w:val="26"/>
          <w:szCs w:val="26"/>
        </w:rPr>
        <w:t>,</w:t>
      </w:r>
      <w:r w:rsidR="00FE4D61" w:rsidRPr="00E55BA1">
        <w:rPr>
          <w:rFonts w:ascii="Bookman Old Style" w:hAnsi="Bookman Old Style"/>
          <w:bCs/>
          <w:sz w:val="26"/>
          <w:szCs w:val="26"/>
        </w:rPr>
        <w:t xml:space="preserve"> 799 P.2d</w:t>
      </w:r>
      <w:r w:rsidR="00FE4D61">
        <w:rPr>
          <w:rFonts w:ascii="Bookman Old Style" w:hAnsi="Bookman Old Style"/>
          <w:sz w:val="26"/>
        </w:rPr>
        <w:t xml:space="preserve"> at 1321</w:t>
      </w:r>
      <w:r w:rsidR="00483A87">
        <w:rPr>
          <w:rFonts w:ascii="Bookman Old Style" w:hAnsi="Bookman Old Style"/>
          <w:sz w:val="26"/>
        </w:rPr>
        <w:t xml:space="preserve">.  </w:t>
      </w:r>
    </w:p>
    <w:p w:rsidR="0047195C" w:rsidRDefault="0047195C" w:rsidP="00D9031B">
      <w:pPr>
        <w:jc w:val="both"/>
        <w:rPr>
          <w:rFonts w:ascii="Bookman Old Style" w:hAnsi="Bookman Old Style"/>
          <w:sz w:val="26"/>
        </w:rPr>
      </w:pPr>
    </w:p>
    <w:p w:rsidR="00FE4D61" w:rsidRDefault="00FA1958" w:rsidP="00D9031B">
      <w:pPr>
        <w:jc w:val="both"/>
        <w:rPr>
          <w:rFonts w:ascii="Bookman Old Style" w:hAnsi="Bookman Old Style"/>
          <w:sz w:val="26"/>
        </w:rPr>
      </w:pPr>
      <w:r>
        <w:rPr>
          <w:rFonts w:ascii="Bookman Old Style" w:hAnsi="Bookman Old Style"/>
          <w:sz w:val="26"/>
        </w:rPr>
        <w:t xml:space="preserve">The prior </w:t>
      </w:r>
      <w:r w:rsidR="00C64266">
        <w:rPr>
          <w:rFonts w:ascii="Bookman Old Style" w:hAnsi="Bookman Old Style"/>
          <w:sz w:val="26"/>
        </w:rPr>
        <w:t>version</w:t>
      </w:r>
      <w:r>
        <w:rPr>
          <w:rFonts w:ascii="Bookman Old Style" w:hAnsi="Bookman Old Style"/>
          <w:sz w:val="26"/>
        </w:rPr>
        <w:t xml:space="preserve"> of 3.06 described the test for legal cause as “</w:t>
      </w:r>
      <w:r w:rsidR="00397C2A">
        <w:rPr>
          <w:rFonts w:ascii="Bookman Old Style" w:hAnsi="Bookman Old Style"/>
          <w:sz w:val="26"/>
        </w:rPr>
        <w:t>the act or failure to act was so important in bringing about the harm that a reasonable person would regard it as a cause and attach responsibility to it</w:t>
      </w:r>
      <w:r>
        <w:rPr>
          <w:rFonts w:ascii="Bookman Old Style" w:hAnsi="Bookman Old Style"/>
          <w:sz w:val="26"/>
        </w:rPr>
        <w:t xml:space="preserve">.”  </w:t>
      </w:r>
      <w:r w:rsidR="00930D27">
        <w:rPr>
          <w:rFonts w:ascii="Bookman Old Style" w:hAnsi="Bookman Old Style"/>
          <w:sz w:val="26"/>
        </w:rPr>
        <w:t>T</w:t>
      </w:r>
      <w:r w:rsidR="00D700DF">
        <w:rPr>
          <w:rFonts w:ascii="Bookman Old Style" w:hAnsi="Bookman Old Style"/>
          <w:sz w:val="26"/>
        </w:rPr>
        <w:t xml:space="preserve">his language appears in </w:t>
      </w:r>
      <w:smartTag w:uri="urn:schemas-microsoft-com:office:smarttags" w:element="State">
        <w:smartTag w:uri="urn:schemas-microsoft-com:office:smarttags" w:element="place">
          <w:r w:rsidR="00D700DF">
            <w:rPr>
              <w:rFonts w:ascii="Bookman Old Style" w:hAnsi="Bookman Old Style"/>
              <w:sz w:val="26"/>
            </w:rPr>
            <w:t>Alaska</w:t>
          </w:r>
        </w:smartTag>
      </w:smartTag>
      <w:r w:rsidR="00D700DF">
        <w:rPr>
          <w:rFonts w:ascii="Bookman Old Style" w:hAnsi="Bookman Old Style"/>
          <w:sz w:val="26"/>
        </w:rPr>
        <w:t xml:space="preserve"> opinions discussing the substantial factor test</w:t>
      </w:r>
      <w:r>
        <w:rPr>
          <w:rFonts w:ascii="Bookman Old Style" w:hAnsi="Bookman Old Style"/>
          <w:sz w:val="26"/>
        </w:rPr>
        <w:t xml:space="preserve">. </w:t>
      </w:r>
      <w:r w:rsidR="00FC6573">
        <w:rPr>
          <w:rFonts w:ascii="Bookman Old Style" w:hAnsi="Bookman Old Style"/>
          <w:sz w:val="26"/>
        </w:rPr>
        <w:t xml:space="preserve"> </w:t>
      </w:r>
      <w:r w:rsidR="00D700DF" w:rsidRPr="00C64266">
        <w:rPr>
          <w:rFonts w:ascii="Bookman Old Style" w:hAnsi="Bookman Old Style"/>
          <w:i/>
          <w:sz w:val="26"/>
        </w:rPr>
        <w:t>See, e.g.,</w:t>
      </w:r>
      <w:r>
        <w:rPr>
          <w:rFonts w:ascii="Bookman Old Style" w:hAnsi="Bookman Old Style"/>
          <w:sz w:val="26"/>
        </w:rPr>
        <w:t xml:space="preserve"> </w:t>
      </w:r>
      <w:r w:rsidR="00D14AA0" w:rsidRPr="005D36A6">
        <w:rPr>
          <w:rFonts w:ascii="Bookman Old Style" w:hAnsi="Bookman Old Style"/>
          <w:i/>
          <w:color w:val="000000"/>
          <w:sz w:val="26"/>
          <w:szCs w:val="26"/>
        </w:rPr>
        <w:t>Hogg</w:t>
      </w:r>
      <w:r w:rsidR="006E44BE">
        <w:rPr>
          <w:rFonts w:ascii="Bookman Old Style" w:hAnsi="Bookman Old Style"/>
          <w:i/>
          <w:color w:val="000000"/>
          <w:sz w:val="26"/>
          <w:szCs w:val="26"/>
        </w:rPr>
        <w:t xml:space="preserve">, </w:t>
      </w:r>
      <w:r w:rsidR="006E44BE" w:rsidRPr="00E07A69">
        <w:rPr>
          <w:rFonts w:ascii="Bookman Old Style" w:hAnsi="Bookman Old Style"/>
          <w:sz w:val="26"/>
          <w:szCs w:val="26"/>
        </w:rPr>
        <w:t xml:space="preserve">134 P.3d </w:t>
      </w:r>
      <w:r w:rsidR="006E44BE">
        <w:rPr>
          <w:rFonts w:ascii="Bookman Old Style" w:hAnsi="Bookman Old Style"/>
          <w:sz w:val="26"/>
          <w:szCs w:val="26"/>
        </w:rPr>
        <w:t>at</w:t>
      </w:r>
      <w:r w:rsidR="006E44BE" w:rsidRPr="00E07A69">
        <w:rPr>
          <w:rFonts w:ascii="Bookman Old Style" w:hAnsi="Bookman Old Style"/>
          <w:sz w:val="26"/>
          <w:szCs w:val="26"/>
        </w:rPr>
        <w:t xml:space="preserve"> 351</w:t>
      </w:r>
      <w:r w:rsidR="00D14AA0">
        <w:rPr>
          <w:rFonts w:ascii="Bookman Old Style" w:hAnsi="Bookman Old Style"/>
          <w:color w:val="000000"/>
          <w:sz w:val="26"/>
          <w:szCs w:val="26"/>
        </w:rPr>
        <w:t xml:space="preserve">; </w:t>
      </w:r>
      <w:r w:rsidR="00EE4400" w:rsidRPr="00EE4400">
        <w:rPr>
          <w:rFonts w:ascii="Bookman Old Style" w:hAnsi="Bookman Old Style"/>
          <w:i/>
          <w:sz w:val="26"/>
        </w:rPr>
        <w:t>Vincent</w:t>
      </w:r>
      <w:r w:rsidR="00EE4400">
        <w:rPr>
          <w:rFonts w:ascii="Bookman Old Style" w:hAnsi="Bookman Old Style"/>
          <w:sz w:val="26"/>
        </w:rPr>
        <w:t xml:space="preserve">, 862 P.2d at 850.  </w:t>
      </w:r>
      <w:r>
        <w:rPr>
          <w:rFonts w:ascii="Bookman Old Style" w:hAnsi="Bookman Old Style"/>
          <w:sz w:val="26"/>
        </w:rPr>
        <w:t xml:space="preserve">The committee </w:t>
      </w:r>
      <w:r w:rsidR="00930D27">
        <w:rPr>
          <w:rFonts w:ascii="Bookman Old Style" w:hAnsi="Bookman Old Style"/>
          <w:sz w:val="26"/>
        </w:rPr>
        <w:t xml:space="preserve">nevertheless </w:t>
      </w:r>
      <w:r>
        <w:rPr>
          <w:rFonts w:ascii="Bookman Old Style" w:hAnsi="Bookman Old Style"/>
          <w:sz w:val="26"/>
        </w:rPr>
        <w:t xml:space="preserve">decided </w:t>
      </w:r>
      <w:r w:rsidR="00EB78B5">
        <w:rPr>
          <w:rFonts w:ascii="Bookman Old Style" w:hAnsi="Bookman Old Style"/>
          <w:sz w:val="26"/>
        </w:rPr>
        <w:t xml:space="preserve">the </w:t>
      </w:r>
      <w:r w:rsidR="00930D27">
        <w:rPr>
          <w:rFonts w:ascii="Bookman Old Style" w:hAnsi="Bookman Old Style"/>
          <w:sz w:val="26"/>
        </w:rPr>
        <w:t xml:space="preserve">instruction could be improved by </w:t>
      </w:r>
      <w:r w:rsidR="00FE4D61">
        <w:rPr>
          <w:rFonts w:ascii="Bookman Old Style" w:hAnsi="Bookman Old Style"/>
          <w:sz w:val="26"/>
        </w:rPr>
        <w:t>more directly stat</w:t>
      </w:r>
      <w:r w:rsidR="00930D27">
        <w:rPr>
          <w:rFonts w:ascii="Bookman Old Style" w:hAnsi="Bookman Old Style"/>
          <w:sz w:val="26"/>
        </w:rPr>
        <w:t xml:space="preserve">ing </w:t>
      </w:r>
      <w:r w:rsidR="00FE4D61">
        <w:rPr>
          <w:rFonts w:ascii="Bookman Old Style" w:hAnsi="Bookman Old Style"/>
          <w:sz w:val="26"/>
        </w:rPr>
        <w:t>the issue as determining responsibility for the harm:</w:t>
      </w:r>
    </w:p>
    <w:p w:rsidR="00FE4D61" w:rsidRDefault="00FE4D61" w:rsidP="00D9031B">
      <w:pPr>
        <w:jc w:val="both"/>
        <w:rPr>
          <w:rFonts w:ascii="Bookman Old Style" w:hAnsi="Bookman Old Style"/>
          <w:sz w:val="26"/>
        </w:rPr>
      </w:pPr>
    </w:p>
    <w:p w:rsidR="00FE4D61" w:rsidRDefault="00153E9C" w:rsidP="00D9031B">
      <w:pPr>
        <w:ind w:left="720" w:right="720"/>
        <w:jc w:val="both"/>
        <w:rPr>
          <w:rFonts w:ascii="Bookman Old Style" w:hAnsi="Bookman Old Style"/>
          <w:sz w:val="26"/>
        </w:rPr>
      </w:pPr>
      <w:r>
        <w:rPr>
          <w:rFonts w:ascii="Bookman Old Style" w:hAnsi="Bookman Old Style"/>
          <w:sz w:val="26"/>
        </w:rPr>
        <w:t>[T]</w:t>
      </w:r>
      <w:r w:rsidR="00FE4D61">
        <w:rPr>
          <w:rFonts w:ascii="Bookman Old Style" w:hAnsi="Bookman Old Style"/>
          <w:sz w:val="26"/>
        </w:rPr>
        <w:t xml:space="preserve">he negligence was important enough in causing the harm that </w:t>
      </w:r>
      <w:r w:rsidR="00804BD1">
        <w:rPr>
          <w:rFonts w:ascii="Bookman Old Style" w:hAnsi="Bookman Old Style"/>
          <w:sz w:val="26"/>
        </w:rPr>
        <w:t xml:space="preserve">a reasonable person would hold </w:t>
      </w:r>
      <w:r w:rsidR="00FE4D61">
        <w:rPr>
          <w:rFonts w:ascii="Bookman Old Style" w:hAnsi="Bookman Old Style"/>
          <w:sz w:val="26"/>
        </w:rPr>
        <w:t xml:space="preserve">the negligent person responsible. The negligence cannot be a remote or trivial factor. </w:t>
      </w:r>
    </w:p>
    <w:p w:rsidR="00FE4D61" w:rsidRDefault="00FE4D61" w:rsidP="00D9031B">
      <w:pPr>
        <w:jc w:val="both"/>
        <w:rPr>
          <w:rFonts w:ascii="Bookman Old Style" w:hAnsi="Bookman Old Style"/>
          <w:sz w:val="26"/>
        </w:rPr>
      </w:pPr>
    </w:p>
    <w:p w:rsidR="00FA1958" w:rsidRDefault="00FA1958" w:rsidP="00D9031B">
      <w:pPr>
        <w:jc w:val="both"/>
        <w:rPr>
          <w:rFonts w:ascii="Bookman Old Style" w:hAnsi="Bookman Old Style"/>
          <w:sz w:val="26"/>
        </w:rPr>
      </w:pPr>
      <w:r>
        <w:rPr>
          <w:rFonts w:ascii="Bookman Old Style" w:hAnsi="Bookman Old Style"/>
          <w:sz w:val="26"/>
        </w:rPr>
        <w:t xml:space="preserve">This is consistent </w:t>
      </w:r>
      <w:r w:rsidR="00804BD1">
        <w:rPr>
          <w:rFonts w:ascii="Bookman Old Style" w:hAnsi="Bookman Old Style"/>
          <w:sz w:val="26"/>
        </w:rPr>
        <w:t xml:space="preserve">with </w:t>
      </w:r>
      <w:r>
        <w:rPr>
          <w:rFonts w:ascii="Bookman Old Style" w:hAnsi="Bookman Old Style"/>
          <w:sz w:val="26"/>
        </w:rPr>
        <w:t xml:space="preserve">the </w:t>
      </w:r>
      <w:r w:rsidR="00EB78B5">
        <w:rPr>
          <w:rFonts w:ascii="Bookman Old Style" w:hAnsi="Bookman Old Style"/>
          <w:sz w:val="26"/>
        </w:rPr>
        <w:t>c</w:t>
      </w:r>
      <w:r>
        <w:rPr>
          <w:rFonts w:ascii="Bookman Old Style" w:hAnsi="Bookman Old Style"/>
          <w:sz w:val="26"/>
        </w:rPr>
        <w:t>oncept underlying legal</w:t>
      </w:r>
      <w:r w:rsidR="002A7FFB">
        <w:rPr>
          <w:rFonts w:ascii="Bookman Old Style" w:hAnsi="Bookman Old Style"/>
          <w:sz w:val="26"/>
        </w:rPr>
        <w:t xml:space="preserve"> cause</w:t>
      </w:r>
      <w:r w:rsidR="00EB78B5">
        <w:rPr>
          <w:rFonts w:ascii="Bookman Old Style" w:hAnsi="Bookman Old Style"/>
          <w:sz w:val="26"/>
        </w:rPr>
        <w:t xml:space="preserve">: </w:t>
      </w:r>
      <w:r>
        <w:rPr>
          <w:rFonts w:ascii="Bookman Old Style" w:hAnsi="Bookman Old Style"/>
          <w:sz w:val="26"/>
        </w:rPr>
        <w:t xml:space="preserve">whether the conduct was so significant and important a cause of the claimant’s harm that the actor should be held legally responsible. </w:t>
      </w:r>
      <w:r w:rsidR="00FC6573">
        <w:rPr>
          <w:rFonts w:ascii="Bookman Old Style" w:hAnsi="Bookman Old Style"/>
          <w:sz w:val="26"/>
        </w:rPr>
        <w:t xml:space="preserve"> </w:t>
      </w:r>
      <w:r w:rsidR="00FE4D61" w:rsidRPr="00804BD1">
        <w:rPr>
          <w:rFonts w:ascii="Bookman Old Style" w:hAnsi="Bookman Old Style"/>
          <w:i/>
          <w:sz w:val="26"/>
        </w:rPr>
        <w:t>See, e.g.,</w:t>
      </w:r>
      <w:r w:rsidR="00FE4D61">
        <w:rPr>
          <w:rFonts w:ascii="Bookman Old Style" w:hAnsi="Bookman Old Style"/>
          <w:sz w:val="26"/>
        </w:rPr>
        <w:t xml:space="preserve"> </w:t>
      </w:r>
      <w:r w:rsidR="00FE4D61" w:rsidRPr="00495A34">
        <w:rPr>
          <w:rFonts w:ascii="Bookman Old Style" w:hAnsi="Bookman Old Style"/>
          <w:bCs/>
          <w:i/>
          <w:sz w:val="26"/>
          <w:szCs w:val="26"/>
        </w:rPr>
        <w:t>Gonzales</w:t>
      </w:r>
      <w:r w:rsidR="00FE4D61">
        <w:rPr>
          <w:rFonts w:ascii="Bookman Old Style" w:hAnsi="Bookman Old Style"/>
          <w:bCs/>
          <w:sz w:val="26"/>
          <w:szCs w:val="26"/>
        </w:rPr>
        <w:t>,</w:t>
      </w:r>
      <w:r w:rsidR="00FE4D61" w:rsidRPr="00E55BA1">
        <w:rPr>
          <w:rFonts w:ascii="Bookman Old Style" w:hAnsi="Bookman Old Style"/>
          <w:bCs/>
          <w:sz w:val="26"/>
          <w:szCs w:val="26"/>
        </w:rPr>
        <w:t xml:space="preserve"> 799 P.2d</w:t>
      </w:r>
      <w:r w:rsidR="00FE4D61">
        <w:rPr>
          <w:rFonts w:ascii="Bookman Old Style" w:hAnsi="Bookman Old Style"/>
          <w:sz w:val="26"/>
        </w:rPr>
        <w:t xml:space="preserve"> at 1321</w:t>
      </w:r>
      <w:r w:rsidR="001C715F">
        <w:rPr>
          <w:rFonts w:ascii="Bookman Old Style" w:hAnsi="Bookman Old Style"/>
          <w:sz w:val="26"/>
        </w:rPr>
        <w:t xml:space="preserve">. </w:t>
      </w:r>
      <w:r w:rsidR="001C715F" w:rsidRPr="00804BD1">
        <w:rPr>
          <w:rFonts w:ascii="Bookman Old Style" w:hAnsi="Bookman Old Style"/>
          <w:i/>
          <w:sz w:val="26"/>
        </w:rPr>
        <w:t>Cf,</w:t>
      </w:r>
      <w:r w:rsidR="00930D27">
        <w:rPr>
          <w:rFonts w:ascii="Bookman Old Style" w:hAnsi="Bookman Old Style"/>
          <w:sz w:val="26"/>
        </w:rPr>
        <w:t xml:space="preserve"> </w:t>
      </w:r>
      <w:r w:rsidR="008F5D15" w:rsidRPr="00495A34">
        <w:rPr>
          <w:rFonts w:ascii="Bookman Old Style" w:hAnsi="Bookman Old Style"/>
          <w:i/>
          <w:sz w:val="26"/>
        </w:rPr>
        <w:t>City of Fairbanks v. Nesbett</w:t>
      </w:r>
      <w:r w:rsidR="008F5D15">
        <w:rPr>
          <w:rFonts w:ascii="Bookman Old Style" w:hAnsi="Bookman Old Style"/>
          <w:sz w:val="26"/>
        </w:rPr>
        <w:t>, 432 P.2d 607, 610</w:t>
      </w:r>
      <w:r w:rsidR="008F5D15">
        <w:rPr>
          <w:rFonts w:ascii="Bookman Old Style" w:hAnsi="Bookman Old Style"/>
          <w:sz w:val="26"/>
        </w:rPr>
        <w:noBreakHyphen/>
        <w:t>11 (</w:t>
      </w:r>
      <w:smartTag w:uri="urn:schemas-microsoft-com:office:smarttags" w:element="State">
        <w:smartTag w:uri="urn:schemas-microsoft-com:office:smarttags" w:element="place">
          <w:r w:rsidR="008F5D15">
            <w:rPr>
              <w:rFonts w:ascii="Bookman Old Style" w:hAnsi="Bookman Old Style"/>
              <w:sz w:val="26"/>
            </w:rPr>
            <w:t>Alaska</w:t>
          </w:r>
        </w:smartTag>
      </w:smartTag>
      <w:r w:rsidR="008F5D15">
        <w:rPr>
          <w:rFonts w:ascii="Bookman Old Style" w:hAnsi="Bookman Old Style"/>
          <w:sz w:val="26"/>
        </w:rPr>
        <w:t xml:space="preserve"> 1967)</w:t>
      </w:r>
      <w:r w:rsidR="00804BD1">
        <w:rPr>
          <w:rFonts w:ascii="Bookman Old Style" w:hAnsi="Bookman Old Style"/>
          <w:sz w:val="26"/>
        </w:rPr>
        <w:t xml:space="preserve"> </w:t>
      </w:r>
      <w:r w:rsidR="008F5D15">
        <w:rPr>
          <w:rFonts w:ascii="Bookman Old Style" w:hAnsi="Bookman Old Style"/>
          <w:sz w:val="26"/>
        </w:rPr>
        <w:t>(It is not necessary for the actor's conduct to be "the" legal cause of an injury; it is only necessary that such conduct be "a" legal cause.)</w:t>
      </w:r>
      <w:r w:rsidR="00804BD1">
        <w:rPr>
          <w:rFonts w:ascii="Bookman Old Style" w:hAnsi="Bookman Old Style"/>
          <w:sz w:val="26"/>
        </w:rPr>
        <w:t>.</w:t>
      </w:r>
    </w:p>
    <w:p w:rsidR="005D1AF7" w:rsidRDefault="005D1AF7" w:rsidP="00D9031B">
      <w:pPr>
        <w:jc w:val="both"/>
        <w:rPr>
          <w:rFonts w:ascii="Bookman Old Style" w:hAnsi="Bookman Old Style"/>
          <w:sz w:val="26"/>
        </w:rPr>
      </w:pPr>
    </w:p>
    <w:p w:rsidR="00397C2A" w:rsidRDefault="00483A87" w:rsidP="00D9031B">
      <w:pPr>
        <w:jc w:val="both"/>
        <w:rPr>
          <w:rFonts w:ascii="Bookman Old Style" w:hAnsi="Bookman Old Style"/>
          <w:sz w:val="26"/>
        </w:rPr>
      </w:pPr>
      <w:r>
        <w:rPr>
          <w:rFonts w:ascii="Bookman Old Style" w:hAnsi="Bookman Old Style"/>
          <w:sz w:val="26"/>
        </w:rPr>
        <w:t xml:space="preserve">The prior </w:t>
      </w:r>
      <w:r w:rsidR="00C64266">
        <w:rPr>
          <w:rFonts w:ascii="Bookman Old Style" w:hAnsi="Bookman Old Style"/>
          <w:sz w:val="26"/>
        </w:rPr>
        <w:t>version</w:t>
      </w:r>
      <w:r>
        <w:rPr>
          <w:rFonts w:ascii="Bookman Old Style" w:hAnsi="Bookman Old Style"/>
          <w:sz w:val="26"/>
        </w:rPr>
        <w:t xml:space="preserve"> of 3.06 set out the exception to the “but for” cause in fact test as follows: </w:t>
      </w:r>
    </w:p>
    <w:p w:rsidR="00397C2A" w:rsidRDefault="00397C2A" w:rsidP="00D9031B">
      <w:pPr>
        <w:jc w:val="both"/>
        <w:rPr>
          <w:rFonts w:ascii="Bookman Old Style" w:hAnsi="Bookman Old Style"/>
          <w:sz w:val="26"/>
        </w:rPr>
      </w:pPr>
    </w:p>
    <w:p w:rsidR="00397C2A" w:rsidRDefault="00397C2A" w:rsidP="00D9031B">
      <w:pPr>
        <w:ind w:left="720" w:right="720"/>
        <w:jc w:val="both"/>
        <w:rPr>
          <w:rFonts w:ascii="Bookman Old Style" w:hAnsi="Bookman Old Style"/>
          <w:sz w:val="26"/>
        </w:rPr>
      </w:pPr>
      <w:r>
        <w:rPr>
          <w:rFonts w:ascii="Bookman Old Style" w:hAnsi="Bookman Old Style"/>
          <w:sz w:val="26"/>
        </w:rPr>
        <w:t>There is, however, one exception to the requirement that the harm would not have occurred but for the act, or failure to act, of the defendant. If two forces operated to cause the harm, one because of the defendant and the other not, and each force by itself was sufficient to cause the harm, then the defendant's act or failure to act is a cause of the harm if it was so important in bringing about the harm that a reasonable person would regard it as a cause and attach responsibility to it.</w:t>
      </w:r>
      <w:r w:rsidR="00483A87">
        <w:rPr>
          <w:rFonts w:ascii="Bookman Old Style" w:hAnsi="Bookman Old Style"/>
          <w:sz w:val="26"/>
        </w:rPr>
        <w:t xml:space="preserve">  </w:t>
      </w:r>
    </w:p>
    <w:p w:rsidR="00397C2A" w:rsidRDefault="00397C2A" w:rsidP="00D9031B">
      <w:pPr>
        <w:ind w:left="720"/>
        <w:jc w:val="both"/>
        <w:rPr>
          <w:rFonts w:ascii="Bookman Old Style" w:hAnsi="Bookman Old Style"/>
          <w:sz w:val="26"/>
        </w:rPr>
      </w:pPr>
    </w:p>
    <w:p w:rsidR="003540D7" w:rsidRDefault="003540D7" w:rsidP="00D9031B">
      <w:pPr>
        <w:jc w:val="both"/>
        <w:rPr>
          <w:rFonts w:ascii="Bookman Old Style" w:hAnsi="Bookman Old Style"/>
          <w:sz w:val="26"/>
        </w:rPr>
      </w:pPr>
      <w:r>
        <w:rPr>
          <w:rFonts w:ascii="Bookman Old Style" w:hAnsi="Bookman Old Style"/>
          <w:sz w:val="26"/>
        </w:rPr>
        <w:t xml:space="preserve">This language is taken directly from Alaska Supreme Court opinions discussing the exception to the cause </w:t>
      </w:r>
      <w:r w:rsidR="001C715F">
        <w:rPr>
          <w:rFonts w:ascii="Bookman Old Style" w:hAnsi="Bookman Old Style"/>
          <w:sz w:val="26"/>
        </w:rPr>
        <w:t>in</w:t>
      </w:r>
      <w:r>
        <w:rPr>
          <w:rFonts w:ascii="Bookman Old Style" w:hAnsi="Bookman Old Style"/>
          <w:sz w:val="26"/>
        </w:rPr>
        <w:t xml:space="preserve"> fact test.</w:t>
      </w:r>
      <w:r w:rsidRPr="003540D7">
        <w:rPr>
          <w:rFonts w:ascii="Bookman Old Style" w:hAnsi="Bookman Old Style"/>
          <w:sz w:val="26"/>
        </w:rPr>
        <w:t xml:space="preserve"> </w:t>
      </w:r>
      <w:r w:rsidRPr="00804BD1">
        <w:rPr>
          <w:rFonts w:ascii="Bookman Old Style" w:hAnsi="Bookman Old Style"/>
          <w:i/>
          <w:sz w:val="26"/>
        </w:rPr>
        <w:t>See, e.g.,</w:t>
      </w:r>
      <w:r>
        <w:rPr>
          <w:rFonts w:ascii="Bookman Old Style" w:hAnsi="Bookman Old Style"/>
          <w:sz w:val="26"/>
        </w:rPr>
        <w:t xml:space="preserve"> </w:t>
      </w:r>
      <w:r w:rsidRPr="00495A34">
        <w:rPr>
          <w:rFonts w:ascii="Bookman Old Style" w:hAnsi="Bookman Old Style"/>
          <w:i/>
          <w:sz w:val="26"/>
        </w:rPr>
        <w:t>Vincent</w:t>
      </w:r>
      <w:r>
        <w:rPr>
          <w:rFonts w:ascii="Bookman Old Style" w:hAnsi="Bookman Old Style"/>
          <w:sz w:val="26"/>
        </w:rPr>
        <w:t xml:space="preserve">, 862 P.2d at 852; </w:t>
      </w:r>
      <w:r w:rsidRPr="00495A34">
        <w:rPr>
          <w:rFonts w:ascii="Bookman Old Style" w:hAnsi="Bookman Old Style"/>
          <w:i/>
          <w:sz w:val="26"/>
        </w:rPr>
        <w:t>State v. Abbott</w:t>
      </w:r>
      <w:r>
        <w:rPr>
          <w:rFonts w:ascii="Bookman Old Style" w:hAnsi="Bookman Old Style"/>
          <w:sz w:val="26"/>
        </w:rPr>
        <w:t>, 498 P.2d 712, 727 (</w:t>
      </w:r>
      <w:smartTag w:uri="urn:schemas-microsoft-com:office:smarttags" w:element="State">
        <w:smartTag w:uri="urn:schemas-microsoft-com:office:smarttags" w:element="place">
          <w:r>
            <w:rPr>
              <w:rFonts w:ascii="Bookman Old Style" w:hAnsi="Bookman Old Style"/>
              <w:sz w:val="26"/>
            </w:rPr>
            <w:t>Alaska</w:t>
          </w:r>
        </w:smartTag>
      </w:smartTag>
      <w:r w:rsidR="00153E9C">
        <w:rPr>
          <w:rFonts w:ascii="Bookman Old Style" w:hAnsi="Bookman Old Style"/>
          <w:sz w:val="26"/>
        </w:rPr>
        <w:t xml:space="preserve"> 1972).  </w:t>
      </w:r>
      <w:r w:rsidR="00483A87">
        <w:rPr>
          <w:rFonts w:ascii="Bookman Old Style" w:hAnsi="Bookman Old Style"/>
          <w:sz w:val="26"/>
        </w:rPr>
        <w:t xml:space="preserve">The committee decided </w:t>
      </w:r>
      <w:r w:rsidR="00D700DF">
        <w:rPr>
          <w:rFonts w:ascii="Bookman Old Style" w:hAnsi="Bookman Old Style"/>
          <w:sz w:val="26"/>
        </w:rPr>
        <w:t>the instruction would more clearly inform the jury of what action to take if the instruction</w:t>
      </w:r>
      <w:r w:rsidR="00483A87">
        <w:rPr>
          <w:rFonts w:ascii="Bookman Old Style" w:hAnsi="Bookman Old Style"/>
          <w:sz w:val="26"/>
        </w:rPr>
        <w:t xml:space="preserve"> simply s</w:t>
      </w:r>
      <w:r w:rsidR="00D700DF">
        <w:rPr>
          <w:rFonts w:ascii="Bookman Old Style" w:hAnsi="Bookman Old Style"/>
          <w:sz w:val="26"/>
        </w:rPr>
        <w:t>tated</w:t>
      </w:r>
      <w:r w:rsidR="00483A87">
        <w:rPr>
          <w:rFonts w:ascii="Bookman Old Style" w:hAnsi="Bookman Old Style"/>
          <w:sz w:val="26"/>
        </w:rPr>
        <w:t xml:space="preserve"> that the cause in fact test does not apply where the case involves independent concurrent causes.  </w:t>
      </w:r>
      <w:r w:rsidR="00397C2A" w:rsidRPr="00804BD1">
        <w:rPr>
          <w:rFonts w:ascii="Bookman Old Style" w:hAnsi="Bookman Old Style"/>
          <w:i/>
          <w:sz w:val="26"/>
        </w:rPr>
        <w:t xml:space="preserve">See, </w:t>
      </w:r>
      <w:r w:rsidR="008F5D15" w:rsidRPr="00804BD1">
        <w:rPr>
          <w:rFonts w:ascii="Bookman Old Style" w:hAnsi="Bookman Old Style"/>
          <w:i/>
          <w:sz w:val="26"/>
        </w:rPr>
        <w:t>e.g.,</w:t>
      </w:r>
      <w:r w:rsidR="00804BD1">
        <w:rPr>
          <w:rFonts w:ascii="Bookman Old Style" w:hAnsi="Bookman Old Style"/>
          <w:i/>
          <w:sz w:val="26"/>
        </w:rPr>
        <w:t xml:space="preserve"> </w:t>
      </w:r>
      <w:r w:rsidR="00397C2A" w:rsidRPr="00495A34">
        <w:rPr>
          <w:rFonts w:ascii="Bookman Old Style" w:hAnsi="Bookman Old Style"/>
          <w:i/>
          <w:sz w:val="26"/>
        </w:rPr>
        <w:t>Vincent</w:t>
      </w:r>
      <w:r w:rsidR="00397C2A">
        <w:rPr>
          <w:rFonts w:ascii="Bookman Old Style" w:hAnsi="Bookman Old Style"/>
          <w:sz w:val="26"/>
        </w:rPr>
        <w:t>, 862 P.2d at 851-</w:t>
      </w:r>
      <w:r w:rsidR="00804BD1">
        <w:rPr>
          <w:rFonts w:ascii="Bookman Old Style" w:hAnsi="Bookman Old Style"/>
          <w:sz w:val="26"/>
        </w:rPr>
        <w:t>5</w:t>
      </w:r>
      <w:r w:rsidR="00397C2A">
        <w:rPr>
          <w:rFonts w:ascii="Bookman Old Style" w:hAnsi="Bookman Old Style"/>
          <w:sz w:val="26"/>
        </w:rPr>
        <w:t>2 (</w:t>
      </w:r>
      <w:r w:rsidR="00804BD1">
        <w:rPr>
          <w:rFonts w:ascii="Bookman Old Style" w:hAnsi="Bookman Old Style"/>
          <w:sz w:val="26"/>
        </w:rPr>
        <w:t>t</w:t>
      </w:r>
      <w:r w:rsidR="0073413A">
        <w:rPr>
          <w:rFonts w:ascii="Bookman Old Style" w:hAnsi="Bookman Old Style"/>
          <w:sz w:val="26"/>
        </w:rPr>
        <w:t xml:space="preserve">he “but for” test is inappropriate </w:t>
      </w:r>
      <w:r w:rsidR="00397C2A">
        <w:rPr>
          <w:rFonts w:ascii="Bookman Old Style" w:hAnsi="Bookman Old Style"/>
          <w:sz w:val="26"/>
        </w:rPr>
        <w:t>when the case involves “independent concurrent causation</w:t>
      </w:r>
      <w:r w:rsidR="009C7171">
        <w:rPr>
          <w:rFonts w:ascii="Bookman Old Style" w:hAnsi="Bookman Old Style"/>
          <w:sz w:val="26"/>
        </w:rPr>
        <w:t>”</w:t>
      </w:r>
      <w:r w:rsidR="0073413A">
        <w:rPr>
          <w:rFonts w:ascii="Bookman Old Style" w:hAnsi="Bookman Old Style"/>
          <w:sz w:val="26"/>
        </w:rPr>
        <w:t xml:space="preserve"> where two or more forces are involved</w:t>
      </w:r>
      <w:r w:rsidR="00804BD1">
        <w:rPr>
          <w:rFonts w:ascii="Bookman Old Style" w:hAnsi="Bookman Old Style"/>
          <w:sz w:val="26"/>
        </w:rPr>
        <w:t>,</w:t>
      </w:r>
      <w:r w:rsidR="0073413A">
        <w:rPr>
          <w:rFonts w:ascii="Bookman Old Style" w:hAnsi="Bookman Old Style"/>
          <w:sz w:val="26"/>
        </w:rPr>
        <w:t xml:space="preserve"> either one of which is sufficient by itself to cause the injury</w:t>
      </w:r>
      <w:r w:rsidR="00397C2A">
        <w:rPr>
          <w:rFonts w:ascii="Bookman Old Style" w:hAnsi="Bookman Old Style"/>
          <w:sz w:val="26"/>
        </w:rPr>
        <w:t>)</w:t>
      </w:r>
      <w:r>
        <w:rPr>
          <w:rFonts w:ascii="Bookman Old Style" w:hAnsi="Bookman Old Style"/>
          <w:sz w:val="26"/>
        </w:rPr>
        <w:t>.</w:t>
      </w:r>
    </w:p>
    <w:p w:rsidR="00B01BD1" w:rsidRDefault="00B01BD1" w:rsidP="00D9031B">
      <w:pPr>
        <w:jc w:val="both"/>
        <w:rPr>
          <w:rFonts w:ascii="Bookman Old Style" w:hAnsi="Bookman Old Style"/>
          <w:color w:val="000000"/>
          <w:sz w:val="26"/>
          <w:szCs w:val="26"/>
        </w:rPr>
      </w:pPr>
    </w:p>
    <w:p w:rsidR="000603A0" w:rsidRPr="00752C06" w:rsidRDefault="000603A0" w:rsidP="00D9031B">
      <w:pPr>
        <w:jc w:val="both"/>
        <w:rPr>
          <w:rFonts w:ascii="Bookman Old Style" w:hAnsi="Bookman Old Style"/>
          <w:sz w:val="26"/>
          <w:szCs w:val="26"/>
        </w:rPr>
      </w:pPr>
      <w:r w:rsidRPr="00752C06">
        <w:rPr>
          <w:rFonts w:ascii="Bookman Old Style" w:hAnsi="Bookman Old Style"/>
          <w:sz w:val="26"/>
          <w:szCs w:val="26"/>
        </w:rPr>
        <w:t>The terms “</w:t>
      </w:r>
      <w:r w:rsidR="006E44BE">
        <w:rPr>
          <w:rFonts w:ascii="Bookman Old Style" w:hAnsi="Bookman Old Style"/>
          <w:sz w:val="26"/>
          <w:szCs w:val="26"/>
        </w:rPr>
        <w:t>l</w:t>
      </w:r>
      <w:r w:rsidRPr="00752C06">
        <w:rPr>
          <w:rFonts w:ascii="Bookman Old Style" w:hAnsi="Bookman Old Style"/>
          <w:sz w:val="26"/>
          <w:szCs w:val="26"/>
        </w:rPr>
        <w:t xml:space="preserve">egal cause,” “proximate cause,” and “substantial factor” have been used interchangeably. </w:t>
      </w:r>
      <w:r w:rsidR="00FC6573">
        <w:rPr>
          <w:rFonts w:ascii="Bookman Old Style" w:hAnsi="Bookman Old Style"/>
          <w:sz w:val="26"/>
          <w:szCs w:val="26"/>
        </w:rPr>
        <w:t xml:space="preserve"> </w:t>
      </w:r>
      <w:r w:rsidRPr="00804BD1">
        <w:rPr>
          <w:rFonts w:ascii="Bookman Old Style" w:hAnsi="Bookman Old Style"/>
          <w:i/>
          <w:sz w:val="26"/>
          <w:szCs w:val="26"/>
        </w:rPr>
        <w:t>See, e.g.,</w:t>
      </w:r>
      <w:r w:rsidRPr="00752C06">
        <w:rPr>
          <w:rFonts w:ascii="Bookman Old Style" w:hAnsi="Bookman Old Style"/>
          <w:sz w:val="26"/>
          <w:szCs w:val="26"/>
        </w:rPr>
        <w:t xml:space="preserve"> </w:t>
      </w:r>
      <w:r w:rsidR="005259F6" w:rsidRPr="005D36A6">
        <w:rPr>
          <w:rFonts w:ascii="Bookman Old Style" w:hAnsi="Bookman Old Style"/>
          <w:i/>
          <w:color w:val="000000"/>
          <w:sz w:val="26"/>
          <w:szCs w:val="26"/>
        </w:rPr>
        <w:t>Hogg</w:t>
      </w:r>
      <w:r w:rsidR="006E44BE">
        <w:rPr>
          <w:rFonts w:ascii="Bookman Old Style" w:hAnsi="Bookman Old Style"/>
          <w:i/>
          <w:color w:val="000000"/>
          <w:sz w:val="26"/>
          <w:szCs w:val="26"/>
        </w:rPr>
        <w:t xml:space="preserve">, </w:t>
      </w:r>
      <w:r w:rsidR="006E44BE" w:rsidRPr="00E07A69">
        <w:rPr>
          <w:rFonts w:ascii="Bookman Old Style" w:hAnsi="Bookman Old Style"/>
          <w:sz w:val="26"/>
          <w:szCs w:val="26"/>
        </w:rPr>
        <w:t xml:space="preserve">134 P.3d </w:t>
      </w:r>
      <w:r w:rsidR="006E44BE">
        <w:rPr>
          <w:rFonts w:ascii="Bookman Old Style" w:hAnsi="Bookman Old Style"/>
          <w:sz w:val="26"/>
          <w:szCs w:val="26"/>
        </w:rPr>
        <w:t>at</w:t>
      </w:r>
      <w:r w:rsidR="006E44BE" w:rsidRPr="00E07A69">
        <w:rPr>
          <w:rFonts w:ascii="Bookman Old Style" w:hAnsi="Bookman Old Style"/>
          <w:sz w:val="26"/>
          <w:szCs w:val="26"/>
        </w:rPr>
        <w:t xml:space="preserve"> 351</w:t>
      </w:r>
      <w:r w:rsidR="00804BD1">
        <w:rPr>
          <w:rFonts w:ascii="Bookman Old Style" w:hAnsi="Bookman Old Style"/>
          <w:sz w:val="26"/>
          <w:szCs w:val="26"/>
        </w:rPr>
        <w:t xml:space="preserve"> </w:t>
      </w:r>
      <w:r w:rsidR="005259F6" w:rsidRPr="00B91C43">
        <w:rPr>
          <w:rFonts w:ascii="Bookman Old Style" w:hAnsi="Bookman Old Style"/>
          <w:color w:val="000000"/>
          <w:sz w:val="26"/>
          <w:szCs w:val="26"/>
        </w:rPr>
        <w:t>(“A legal cause of harm is an act or a failure to act which is a substantial factor in bringing about the harm”)</w:t>
      </w:r>
      <w:r w:rsidR="005259F6">
        <w:rPr>
          <w:rFonts w:ascii="Bookman Old Style" w:hAnsi="Bookman Old Style"/>
          <w:color w:val="000000"/>
          <w:sz w:val="26"/>
          <w:szCs w:val="26"/>
        </w:rPr>
        <w:t>;</w:t>
      </w:r>
      <w:r w:rsidR="006E44BE">
        <w:rPr>
          <w:rFonts w:ascii="Bookman Old Style" w:hAnsi="Bookman Old Style"/>
          <w:color w:val="000000"/>
          <w:sz w:val="26"/>
          <w:szCs w:val="26"/>
        </w:rPr>
        <w:t xml:space="preserve"> </w:t>
      </w:r>
      <w:r w:rsidRPr="00752C06">
        <w:rPr>
          <w:rFonts w:ascii="Bookman Old Style" w:hAnsi="Bookman Old Style"/>
          <w:i/>
          <w:sz w:val="26"/>
          <w:szCs w:val="26"/>
        </w:rPr>
        <w:t>Robles</w:t>
      </w:r>
      <w:r w:rsidRPr="00752C06">
        <w:rPr>
          <w:rFonts w:ascii="Bookman Old Style" w:hAnsi="Bookman Old Style"/>
          <w:sz w:val="26"/>
          <w:szCs w:val="26"/>
        </w:rPr>
        <w:t xml:space="preserve">, 29 P.3d at 851 (“Alaska applies a two-part test of legal causation in negligence cases”); </w:t>
      </w:r>
      <w:r w:rsidRPr="00752C06">
        <w:rPr>
          <w:rFonts w:ascii="Bookman Old Style" w:hAnsi="Bookman Old Style"/>
          <w:i/>
          <w:sz w:val="26"/>
          <w:szCs w:val="26"/>
        </w:rPr>
        <w:t>Vincent</w:t>
      </w:r>
      <w:r w:rsidRPr="00752C06">
        <w:rPr>
          <w:rFonts w:ascii="Bookman Old Style" w:hAnsi="Bookman Old Style"/>
          <w:sz w:val="26"/>
          <w:szCs w:val="26"/>
        </w:rPr>
        <w:t xml:space="preserve">, 862 P.2d at 851 (“As a general rule, Alaska follows the ‘substantial factor test’ of causation”); </w:t>
      </w:r>
      <w:r w:rsidRPr="00752C06">
        <w:rPr>
          <w:rFonts w:ascii="Bookman Old Style" w:hAnsi="Bookman Old Style"/>
          <w:i/>
          <w:sz w:val="26"/>
          <w:szCs w:val="26"/>
        </w:rPr>
        <w:t>Yukon Equipment, Inc. v. Gordon</w:t>
      </w:r>
      <w:r w:rsidRPr="00752C06">
        <w:rPr>
          <w:rFonts w:ascii="Bookman Old Style" w:hAnsi="Bookman Old Style"/>
          <w:sz w:val="26"/>
          <w:szCs w:val="26"/>
        </w:rPr>
        <w:t>, 660 P.2d 428, 432 (Alaska 1983)(“</w:t>
      </w:r>
      <w:r w:rsidRPr="00752C06">
        <w:rPr>
          <w:rFonts w:ascii="Bookman Old Style" w:hAnsi="Bookman Old Style"/>
          <w:color w:val="000000"/>
          <w:sz w:val="26"/>
          <w:szCs w:val="26"/>
        </w:rPr>
        <w:t>When I use the terms ‘legal cause’ or ‘proximate cause’ in these instructions, I am using them synonymously</w:t>
      </w:r>
      <w:r w:rsidRPr="00752C06">
        <w:rPr>
          <w:rFonts w:ascii="Bookman Old Style" w:hAnsi="Bookman Old Style"/>
          <w:sz w:val="26"/>
          <w:szCs w:val="26"/>
        </w:rPr>
        <w:t xml:space="preserve">”), </w:t>
      </w:r>
      <w:r w:rsidRPr="00752C06">
        <w:rPr>
          <w:rFonts w:ascii="Bookman Old Style" w:hAnsi="Bookman Old Style"/>
          <w:i/>
          <w:sz w:val="26"/>
          <w:szCs w:val="26"/>
        </w:rPr>
        <w:t>overruled in part</w:t>
      </w:r>
      <w:r w:rsidRPr="00752C06">
        <w:rPr>
          <w:rFonts w:ascii="Bookman Old Style" w:hAnsi="Bookman Old Style"/>
          <w:sz w:val="26"/>
          <w:szCs w:val="26"/>
        </w:rPr>
        <w:t xml:space="preserve">, </w:t>
      </w:r>
      <w:r w:rsidRPr="00752C06">
        <w:rPr>
          <w:rFonts w:ascii="Bookman Old Style" w:hAnsi="Bookman Old Style"/>
          <w:i/>
          <w:sz w:val="26"/>
          <w:szCs w:val="26"/>
        </w:rPr>
        <w:t>Williford v. L.J. Carr Investments, Inc.</w:t>
      </w:r>
      <w:r w:rsidRPr="00752C06">
        <w:rPr>
          <w:rFonts w:ascii="Bookman Old Style" w:hAnsi="Bookman Old Style"/>
          <w:sz w:val="26"/>
          <w:szCs w:val="26"/>
        </w:rPr>
        <w:t>, 783 P.2d 235, 237 n.5 (Alaska 1989)</w:t>
      </w:r>
      <w:r w:rsidR="00752C06" w:rsidRPr="00752C06">
        <w:rPr>
          <w:rFonts w:ascii="Bookman Old Style" w:hAnsi="Bookman Old Style"/>
          <w:sz w:val="26"/>
          <w:szCs w:val="26"/>
        </w:rPr>
        <w:t xml:space="preserve">; </w:t>
      </w:r>
      <w:r w:rsidR="00752C06" w:rsidRPr="00752C06">
        <w:rPr>
          <w:rFonts w:ascii="Bookman Old Style" w:hAnsi="Bookman Old Style"/>
          <w:i/>
          <w:color w:val="000000"/>
          <w:sz w:val="26"/>
          <w:szCs w:val="26"/>
        </w:rPr>
        <w:t>Alvey v. Pioneer Oilfield Services, Inc</w:t>
      </w:r>
      <w:r w:rsidR="00752C06" w:rsidRPr="00752C06">
        <w:rPr>
          <w:rFonts w:ascii="Bookman Old Style" w:hAnsi="Bookman Old Style"/>
          <w:color w:val="000000"/>
          <w:sz w:val="26"/>
          <w:szCs w:val="26"/>
        </w:rPr>
        <w:t>.,648 P.2d 599, 600 (Alaska 1982)</w:t>
      </w:r>
      <w:r w:rsidR="00FC6573">
        <w:rPr>
          <w:rFonts w:ascii="Bookman Old Style" w:hAnsi="Bookman Old Style"/>
          <w:color w:val="000000"/>
          <w:sz w:val="26"/>
          <w:szCs w:val="26"/>
        </w:rPr>
        <w:t xml:space="preserve"> </w:t>
      </w:r>
      <w:r w:rsidR="00752C06" w:rsidRPr="00752C06">
        <w:rPr>
          <w:rFonts w:ascii="Bookman Old Style" w:hAnsi="Bookman Old Style"/>
          <w:color w:val="000000"/>
          <w:sz w:val="26"/>
          <w:szCs w:val="26"/>
        </w:rPr>
        <w:t>(“Proximate cause exists where the negligent act was, more likely than not, a substantial factor in bringing about the injury”)</w:t>
      </w:r>
      <w:r w:rsidR="00F15808">
        <w:rPr>
          <w:rFonts w:ascii="Bookman Old Style" w:hAnsi="Bookman Old Style"/>
          <w:color w:val="000000"/>
          <w:sz w:val="26"/>
          <w:szCs w:val="26"/>
        </w:rPr>
        <w:t>.</w:t>
      </w:r>
      <w:r w:rsidRPr="00752C06">
        <w:rPr>
          <w:rFonts w:ascii="Bookman Old Style" w:hAnsi="Bookman Old Style"/>
          <w:sz w:val="26"/>
          <w:szCs w:val="26"/>
        </w:rPr>
        <w:t xml:space="preserve"> </w:t>
      </w:r>
      <w:r w:rsidR="00FC6573">
        <w:rPr>
          <w:rFonts w:ascii="Bookman Old Style" w:hAnsi="Bookman Old Style"/>
          <w:sz w:val="26"/>
          <w:szCs w:val="26"/>
        </w:rPr>
        <w:t xml:space="preserve"> </w:t>
      </w:r>
      <w:r w:rsidR="00EE4400" w:rsidRPr="00752C06">
        <w:rPr>
          <w:rFonts w:ascii="Bookman Old Style" w:hAnsi="Bookman Old Style"/>
          <w:sz w:val="26"/>
          <w:szCs w:val="26"/>
        </w:rPr>
        <w:t xml:space="preserve">Instruction 3.06 </w:t>
      </w:r>
      <w:r w:rsidR="003540D7">
        <w:rPr>
          <w:rFonts w:ascii="Bookman Old Style" w:hAnsi="Bookman Old Style"/>
          <w:sz w:val="26"/>
          <w:szCs w:val="26"/>
        </w:rPr>
        <w:t xml:space="preserve">sets out the test for </w:t>
      </w:r>
      <w:r w:rsidR="00EE4400" w:rsidRPr="00752C06">
        <w:rPr>
          <w:rFonts w:ascii="Bookman Old Style" w:hAnsi="Bookman Old Style"/>
          <w:sz w:val="26"/>
          <w:szCs w:val="26"/>
        </w:rPr>
        <w:t xml:space="preserve">all these </w:t>
      </w:r>
      <w:r w:rsidR="003540D7">
        <w:rPr>
          <w:rFonts w:ascii="Bookman Old Style" w:hAnsi="Bookman Old Style"/>
          <w:sz w:val="26"/>
          <w:szCs w:val="26"/>
        </w:rPr>
        <w:t xml:space="preserve">causation </w:t>
      </w:r>
      <w:r w:rsidR="00EE4400" w:rsidRPr="00752C06">
        <w:rPr>
          <w:rFonts w:ascii="Bookman Old Style" w:hAnsi="Bookman Old Style"/>
          <w:sz w:val="26"/>
          <w:szCs w:val="26"/>
        </w:rPr>
        <w:t>concepts.</w:t>
      </w:r>
    </w:p>
    <w:sectPr w:rsidR="000603A0" w:rsidRPr="00752C06" w:rsidSect="00D9031B">
      <w:footerReference w:type="default" r:id="rId8"/>
      <w:footerReference w:type="firs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1AC" w:rsidRDefault="004441AC">
      <w:r>
        <w:separator/>
      </w:r>
    </w:p>
  </w:endnote>
  <w:endnote w:type="continuationSeparator" w:id="0">
    <w:p w:rsidR="004441AC" w:rsidRDefault="0044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03" w:rsidRPr="00D9031B" w:rsidRDefault="00D33B2D" w:rsidP="00EB3803">
    <w:pPr>
      <w:pStyle w:val="Footer"/>
      <w:tabs>
        <w:tab w:val="clear" w:pos="8640"/>
        <w:tab w:val="right" w:pos="9360"/>
      </w:tabs>
      <w:rPr>
        <w:rFonts w:ascii="Bookman Old Style" w:hAnsi="Bookman Old Style"/>
        <w:sz w:val="24"/>
        <w:szCs w:val="24"/>
      </w:rPr>
    </w:pPr>
    <w:r>
      <w:rPr>
        <w:rFonts w:ascii="Bookman Old Style" w:hAnsi="Bookman Old Style"/>
        <w:sz w:val="24"/>
        <w:szCs w:val="24"/>
      </w:rPr>
      <w:t>2008</w:t>
    </w:r>
    <w:r w:rsidR="00EB3803" w:rsidRPr="00D9031B">
      <w:rPr>
        <w:rFonts w:ascii="Bookman Old Style" w:hAnsi="Bookman Old Style"/>
        <w:sz w:val="24"/>
        <w:szCs w:val="24"/>
      </w:rPr>
      <w:tab/>
    </w:r>
    <w:r w:rsidR="00EB3803" w:rsidRPr="00D9031B">
      <w:rPr>
        <w:rFonts w:ascii="Bookman Old Style" w:hAnsi="Bookman Old Style"/>
        <w:sz w:val="24"/>
        <w:szCs w:val="24"/>
      </w:rPr>
      <w:tab/>
      <w:t>03.0</w:t>
    </w:r>
    <w:r w:rsidR="00CB3126">
      <w:rPr>
        <w:rFonts w:ascii="Bookman Old Style" w:hAnsi="Bookman Old Style"/>
        <w:sz w:val="24"/>
        <w:szCs w:val="24"/>
      </w:rPr>
      <w:t>7</w:t>
    </w:r>
    <w:r w:rsidR="00EB3803" w:rsidRPr="00D9031B">
      <w:rPr>
        <w:rFonts w:ascii="Bookman Old Style" w:hAnsi="Bookman Old Style"/>
        <w:sz w:val="24"/>
        <w:szCs w:val="24"/>
      </w:rPr>
      <w:t xml:space="preserve"> - </w:t>
    </w:r>
    <w:r w:rsidR="00EB3803" w:rsidRPr="00D9031B">
      <w:rPr>
        <w:rStyle w:val="PageNumber"/>
        <w:rFonts w:ascii="Bookman Old Style" w:hAnsi="Bookman Old Style"/>
        <w:sz w:val="24"/>
        <w:szCs w:val="24"/>
      </w:rPr>
      <w:fldChar w:fldCharType="begin"/>
    </w:r>
    <w:r w:rsidR="00EB3803" w:rsidRPr="00D9031B">
      <w:rPr>
        <w:rStyle w:val="PageNumber"/>
        <w:rFonts w:ascii="Bookman Old Style" w:hAnsi="Bookman Old Style"/>
        <w:sz w:val="24"/>
        <w:szCs w:val="24"/>
      </w:rPr>
      <w:instrText xml:space="preserve"> PAGE </w:instrText>
    </w:r>
    <w:r w:rsidR="00EB3803" w:rsidRPr="00D9031B">
      <w:rPr>
        <w:rStyle w:val="PageNumber"/>
        <w:rFonts w:ascii="Bookman Old Style" w:hAnsi="Bookman Old Style"/>
        <w:sz w:val="24"/>
        <w:szCs w:val="24"/>
      </w:rPr>
      <w:fldChar w:fldCharType="separate"/>
    </w:r>
    <w:r w:rsidR="00B605B9">
      <w:rPr>
        <w:rStyle w:val="PageNumber"/>
        <w:rFonts w:ascii="Bookman Old Style" w:hAnsi="Bookman Old Style"/>
        <w:noProof/>
        <w:sz w:val="24"/>
        <w:szCs w:val="24"/>
      </w:rPr>
      <w:t>1</w:t>
    </w:r>
    <w:r w:rsidR="00EB3803" w:rsidRPr="00D9031B">
      <w:rPr>
        <w:rStyle w:val="PageNumber"/>
        <w:rFonts w:ascii="Bookman Old Style" w:hAnsi="Bookman Old Style"/>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803" w:rsidRDefault="00EB3803">
    <w:pPr>
      <w:pStyle w:val="Footer"/>
      <w:rPr>
        <w:rFonts w:ascii="Bookman Old Style" w:hAnsi="Bookman Old Style"/>
        <w:sz w:val="22"/>
      </w:rPr>
    </w:pPr>
    <w:r>
      <w:rPr>
        <w:rFonts w:ascii="Bookman Old Style" w:hAnsi="Bookman Old Style"/>
        <w:sz w:val="22"/>
      </w:rPr>
      <w:t>REVISED 1988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1AC" w:rsidRDefault="004441AC">
      <w:r>
        <w:separator/>
      </w:r>
    </w:p>
  </w:footnote>
  <w:footnote w:type="continuationSeparator" w:id="0">
    <w:p w:rsidR="004441AC" w:rsidRDefault="00444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A5846"/>
    <w:multiLevelType w:val="hybridMultilevel"/>
    <w:tmpl w:val="D7F8D55E"/>
    <w:lvl w:ilvl="0" w:tplc="83AAAF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5B8"/>
    <w:rsid w:val="00014317"/>
    <w:rsid w:val="00037F06"/>
    <w:rsid w:val="0005372B"/>
    <w:rsid w:val="000603A0"/>
    <w:rsid w:val="000B660E"/>
    <w:rsid w:val="000F5DE2"/>
    <w:rsid w:val="00102C55"/>
    <w:rsid w:val="00153E9C"/>
    <w:rsid w:val="00175E10"/>
    <w:rsid w:val="00176F25"/>
    <w:rsid w:val="001972D4"/>
    <w:rsid w:val="001C715F"/>
    <w:rsid w:val="001F11CD"/>
    <w:rsid w:val="00214C19"/>
    <w:rsid w:val="00251E21"/>
    <w:rsid w:val="0025308C"/>
    <w:rsid w:val="002A7FFB"/>
    <w:rsid w:val="003269B4"/>
    <w:rsid w:val="003540D7"/>
    <w:rsid w:val="00377BB3"/>
    <w:rsid w:val="00397C2A"/>
    <w:rsid w:val="003D5A70"/>
    <w:rsid w:val="003D75D8"/>
    <w:rsid w:val="004022D5"/>
    <w:rsid w:val="004441AC"/>
    <w:rsid w:val="00457F34"/>
    <w:rsid w:val="0047195C"/>
    <w:rsid w:val="00483A87"/>
    <w:rsid w:val="00495A34"/>
    <w:rsid w:val="004C40BA"/>
    <w:rsid w:val="004E101F"/>
    <w:rsid w:val="005259F6"/>
    <w:rsid w:val="00540E6B"/>
    <w:rsid w:val="00552C3E"/>
    <w:rsid w:val="005939C7"/>
    <w:rsid w:val="005C1472"/>
    <w:rsid w:val="005C18DE"/>
    <w:rsid w:val="005D1AF7"/>
    <w:rsid w:val="005E0D86"/>
    <w:rsid w:val="005F1426"/>
    <w:rsid w:val="006104D6"/>
    <w:rsid w:val="006312A7"/>
    <w:rsid w:val="006A5F7D"/>
    <w:rsid w:val="006B5B90"/>
    <w:rsid w:val="006C226F"/>
    <w:rsid w:val="006C5B0E"/>
    <w:rsid w:val="006E1CCD"/>
    <w:rsid w:val="006E2E59"/>
    <w:rsid w:val="006E44BE"/>
    <w:rsid w:val="007050D7"/>
    <w:rsid w:val="0073413A"/>
    <w:rsid w:val="00752C06"/>
    <w:rsid w:val="00804BD1"/>
    <w:rsid w:val="00807161"/>
    <w:rsid w:val="008425B8"/>
    <w:rsid w:val="008665F3"/>
    <w:rsid w:val="00870792"/>
    <w:rsid w:val="00882F36"/>
    <w:rsid w:val="008B4325"/>
    <w:rsid w:val="008E0237"/>
    <w:rsid w:val="008E12F1"/>
    <w:rsid w:val="008F5D15"/>
    <w:rsid w:val="00930D27"/>
    <w:rsid w:val="0097244B"/>
    <w:rsid w:val="0099425B"/>
    <w:rsid w:val="009A56C4"/>
    <w:rsid w:val="009C7171"/>
    <w:rsid w:val="009F15FA"/>
    <w:rsid w:val="00A3712D"/>
    <w:rsid w:val="00A7536D"/>
    <w:rsid w:val="00A77AAF"/>
    <w:rsid w:val="00AA03FC"/>
    <w:rsid w:val="00AC3416"/>
    <w:rsid w:val="00B01BD1"/>
    <w:rsid w:val="00B139BF"/>
    <w:rsid w:val="00B229C2"/>
    <w:rsid w:val="00B32EA8"/>
    <w:rsid w:val="00B3315A"/>
    <w:rsid w:val="00B605B9"/>
    <w:rsid w:val="00B648FF"/>
    <w:rsid w:val="00B72A0E"/>
    <w:rsid w:val="00B93546"/>
    <w:rsid w:val="00BD68C6"/>
    <w:rsid w:val="00BF53C3"/>
    <w:rsid w:val="00C52C00"/>
    <w:rsid w:val="00C53DD1"/>
    <w:rsid w:val="00C64266"/>
    <w:rsid w:val="00CA335A"/>
    <w:rsid w:val="00CB132D"/>
    <w:rsid w:val="00CB3126"/>
    <w:rsid w:val="00CE1938"/>
    <w:rsid w:val="00CE5B62"/>
    <w:rsid w:val="00D006B8"/>
    <w:rsid w:val="00D12CB4"/>
    <w:rsid w:val="00D14660"/>
    <w:rsid w:val="00D14AA0"/>
    <w:rsid w:val="00D33597"/>
    <w:rsid w:val="00D33B2D"/>
    <w:rsid w:val="00D700DF"/>
    <w:rsid w:val="00D9031B"/>
    <w:rsid w:val="00DA4FEE"/>
    <w:rsid w:val="00DB3469"/>
    <w:rsid w:val="00DD7331"/>
    <w:rsid w:val="00E024BB"/>
    <w:rsid w:val="00E12400"/>
    <w:rsid w:val="00E66FA9"/>
    <w:rsid w:val="00EB3803"/>
    <w:rsid w:val="00EB5504"/>
    <w:rsid w:val="00EB78B5"/>
    <w:rsid w:val="00EE4400"/>
    <w:rsid w:val="00F15808"/>
    <w:rsid w:val="00FA1958"/>
    <w:rsid w:val="00FA2482"/>
    <w:rsid w:val="00FA4751"/>
    <w:rsid w:val="00FC037F"/>
    <w:rsid w:val="00FC6573"/>
    <w:rsid w:val="00FD3865"/>
    <w:rsid w:val="00FE10A1"/>
    <w:rsid w:val="00FE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9">
    <w:name w:val="OmniPage #9"/>
    <w:basedOn w:val="Normal"/>
    <w:pPr>
      <w:spacing w:line="240" w:lineRule="exact"/>
    </w:pPr>
  </w:style>
  <w:style w:type="paragraph" w:customStyle="1" w:styleId="OmniPage10">
    <w:name w:val="OmniPage #10"/>
    <w:basedOn w:val="Normal"/>
    <w:pPr>
      <w:spacing w:line="120" w:lineRule="exact"/>
    </w:pPr>
  </w:style>
  <w:style w:type="paragraph" w:customStyle="1" w:styleId="OmniPage11">
    <w:name w:val="OmniPage #11"/>
    <w:basedOn w:val="Normal"/>
    <w:pPr>
      <w:spacing w:line="480" w:lineRule="exact"/>
    </w:pPr>
  </w:style>
  <w:style w:type="paragraph" w:customStyle="1" w:styleId="OmniPage18">
    <w:name w:val="OmniPage #18"/>
    <w:basedOn w:val="Normal"/>
    <w:pPr>
      <w:spacing w:line="22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425B8"/>
    <w:rPr>
      <w:rFonts w:ascii="Tahoma" w:hAnsi="Tahoma" w:cs="Tahoma"/>
      <w:sz w:val="16"/>
      <w:szCs w:val="16"/>
    </w:rPr>
  </w:style>
  <w:style w:type="paragraph" w:customStyle="1" w:styleId="OmniPage1">
    <w:name w:val="OmniPage #1"/>
    <w:basedOn w:val="Normal"/>
    <w:rsid w:val="00AA03FC"/>
    <w:pPr>
      <w:spacing w:line="240" w:lineRule="exact"/>
    </w:pPr>
    <w:rPr>
      <w:rFonts w:ascii="Courier New" w:hAnsi="Courier New"/>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OmniPage7">
    <w:name w:val="OmniPage #7"/>
    <w:basedOn w:val="Normal"/>
    <w:pPr>
      <w:spacing w:line="240" w:lineRule="exact"/>
    </w:pPr>
  </w:style>
  <w:style w:type="paragraph" w:customStyle="1" w:styleId="OmniPage9">
    <w:name w:val="OmniPage #9"/>
    <w:basedOn w:val="Normal"/>
    <w:pPr>
      <w:spacing w:line="240" w:lineRule="exact"/>
    </w:pPr>
  </w:style>
  <w:style w:type="paragraph" w:customStyle="1" w:styleId="OmniPage10">
    <w:name w:val="OmniPage #10"/>
    <w:basedOn w:val="Normal"/>
    <w:pPr>
      <w:spacing w:line="120" w:lineRule="exact"/>
    </w:pPr>
  </w:style>
  <w:style w:type="paragraph" w:customStyle="1" w:styleId="OmniPage11">
    <w:name w:val="OmniPage #11"/>
    <w:basedOn w:val="Normal"/>
    <w:pPr>
      <w:spacing w:line="480" w:lineRule="exact"/>
    </w:pPr>
  </w:style>
  <w:style w:type="paragraph" w:customStyle="1" w:styleId="OmniPage18">
    <w:name w:val="OmniPage #18"/>
    <w:basedOn w:val="Normal"/>
    <w:pPr>
      <w:spacing w:line="220" w:lineRule="exac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8425B8"/>
    <w:rPr>
      <w:rFonts w:ascii="Tahoma" w:hAnsi="Tahoma" w:cs="Tahoma"/>
      <w:sz w:val="16"/>
      <w:szCs w:val="16"/>
    </w:rPr>
  </w:style>
  <w:style w:type="paragraph" w:customStyle="1" w:styleId="OmniPage1">
    <w:name w:val="OmniPage #1"/>
    <w:basedOn w:val="Normal"/>
    <w:rsid w:val="00AA03FC"/>
    <w:pPr>
      <w:spacing w:line="240" w:lineRule="exact"/>
    </w:pPr>
    <w:rPr>
      <w:rFonts w:ascii="Courier New" w:hAnsi="Courier New"/>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5406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3</vt:lpstr>
    </vt:vector>
  </TitlesOfParts>
  <Company>Alaska Court System</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korzechowski</dc:creator>
  <cp:keywords/>
  <cp:lastModifiedBy>Michael Merrington</cp:lastModifiedBy>
  <cp:revision>3</cp:revision>
  <cp:lastPrinted>2008-07-15T23:14:00Z</cp:lastPrinted>
  <dcterms:created xsi:type="dcterms:W3CDTF">2017-04-04T18:47:00Z</dcterms:created>
  <dcterms:modified xsi:type="dcterms:W3CDTF">2017-04-04T18:47:00Z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1525145979</vt:i4>
  </property>
  <property fmtid="{D5CDD505-2E9C-101B-9397-08002B2CF9AE}" pid="3" name="_EmailSubject">
    <vt:lpwstr>Supplement 15</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PreviousAdHocReviewCycleID">
    <vt:i4>483900258</vt:i4>
  </property>
  <property fmtid="{D5CDD505-2E9C-101B-9397-08002B2CF9AE}" pid="7" name="_ReviewingToolsShownOnce">
    <vt:lpwstr/>
  </property>
</Properties>
</file>