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47" w:rsidRPr="00D141C6" w:rsidRDefault="00877547" w:rsidP="00D141C6">
      <w:pPr>
        <w:pStyle w:val="Julia"/>
        <w:widowControl/>
        <w:tabs>
          <w:tab w:val="left" w:pos="1440"/>
        </w:tabs>
        <w:suppressAutoHyphens w:val="0"/>
        <w:rPr>
          <w:b/>
          <w:bCs/>
          <w:snapToGrid/>
          <w:spacing w:val="0"/>
          <w:szCs w:val="26"/>
        </w:rPr>
      </w:pPr>
      <w:bookmarkStart w:id="0" w:name="_GoBack"/>
      <w:bookmarkEnd w:id="0"/>
      <w:r w:rsidRPr="00D141C6">
        <w:rPr>
          <w:b/>
          <w:bCs/>
          <w:snapToGrid/>
          <w:spacing w:val="0"/>
          <w:szCs w:val="26"/>
        </w:rPr>
        <w:t>3.0</w:t>
      </w:r>
      <w:r w:rsidR="00D141C6">
        <w:rPr>
          <w:b/>
          <w:bCs/>
          <w:snapToGrid/>
          <w:spacing w:val="0"/>
          <w:szCs w:val="26"/>
        </w:rPr>
        <w:t>9</w:t>
      </w:r>
      <w:r w:rsidRPr="00D141C6">
        <w:rPr>
          <w:b/>
          <w:bCs/>
          <w:snapToGrid/>
          <w:spacing w:val="0"/>
          <w:szCs w:val="26"/>
        </w:rPr>
        <w:tab/>
        <w:t xml:space="preserve">SUPERSEDING CAUSE </w:t>
      </w:r>
    </w:p>
    <w:p w:rsidR="00877547" w:rsidRPr="00D141C6" w:rsidRDefault="00877547" w:rsidP="00D141C6">
      <w:pPr>
        <w:pStyle w:val="Julia"/>
        <w:widowControl/>
        <w:suppressAutoHyphens w:val="0"/>
        <w:rPr>
          <w:snapToGrid/>
          <w:spacing w:val="0"/>
          <w:szCs w:val="26"/>
        </w:rPr>
      </w:pPr>
    </w:p>
    <w:p w:rsidR="00877547" w:rsidRDefault="00877547" w:rsidP="00D141C6">
      <w:pPr>
        <w:pStyle w:val="BodyText"/>
        <w:spacing w:line="360" w:lineRule="auto"/>
        <w:rPr>
          <w:rFonts w:ascii="Bookman Old Style" w:hAnsi="Bookman Old Style"/>
          <w:i w:val="0"/>
          <w:sz w:val="26"/>
          <w:szCs w:val="26"/>
        </w:rPr>
      </w:pPr>
      <w:r w:rsidRPr="00D141C6">
        <w:rPr>
          <w:rFonts w:ascii="Bookman Old Style" w:hAnsi="Bookman Old Style"/>
          <w:i w:val="0"/>
          <w:sz w:val="26"/>
          <w:szCs w:val="26"/>
        </w:rPr>
        <w:t xml:space="preserve">Defendant claims that </w:t>
      </w:r>
      <w:r w:rsidR="00B241E0" w:rsidRPr="00D141C6">
        <w:rPr>
          <w:rFonts w:ascii="Bookman Old Style" w:hAnsi="Bookman Old Style"/>
          <w:i w:val="0"/>
          <w:sz w:val="26"/>
          <w:szCs w:val="26"/>
        </w:rPr>
        <w:t>[he] [she] is not responsible for</w:t>
      </w:r>
      <w:r w:rsidRPr="00D141C6">
        <w:rPr>
          <w:rFonts w:ascii="Bookman Old Style" w:hAnsi="Bookman Old Style"/>
          <w:i w:val="0"/>
          <w:sz w:val="26"/>
          <w:szCs w:val="26"/>
        </w:rPr>
        <w:t xml:space="preserve"> plaintiff’s harm becau</w:t>
      </w:r>
      <w:r w:rsidR="00CA0763" w:rsidRPr="00D141C6">
        <w:rPr>
          <w:rFonts w:ascii="Bookman Old Style" w:hAnsi="Bookman Old Style"/>
          <w:i w:val="0"/>
          <w:sz w:val="26"/>
          <w:szCs w:val="26"/>
        </w:rPr>
        <w:t>se a later</w:t>
      </w:r>
      <w:r w:rsidR="00B241E0" w:rsidRPr="00D141C6">
        <w:rPr>
          <w:rFonts w:ascii="Bookman Old Style" w:hAnsi="Bookman Old Style"/>
          <w:i w:val="0"/>
          <w:sz w:val="26"/>
          <w:szCs w:val="26"/>
        </w:rPr>
        <w:t xml:space="preserve"> act or event was a </w:t>
      </w:r>
      <w:r w:rsidRPr="00D141C6">
        <w:rPr>
          <w:rFonts w:ascii="Bookman Old Style" w:hAnsi="Bookman Old Style"/>
          <w:i w:val="0"/>
          <w:sz w:val="26"/>
          <w:szCs w:val="26"/>
        </w:rPr>
        <w:t xml:space="preserve">superseding cause of the harm.  </w:t>
      </w:r>
    </w:p>
    <w:p w:rsidR="00D141C6" w:rsidRPr="00D141C6" w:rsidRDefault="00D141C6" w:rsidP="00D141C6">
      <w:pPr>
        <w:pStyle w:val="BodyText"/>
        <w:spacing w:line="360" w:lineRule="auto"/>
        <w:rPr>
          <w:rFonts w:ascii="Bookman Old Style" w:hAnsi="Bookman Old Style"/>
          <w:i w:val="0"/>
          <w:sz w:val="26"/>
          <w:szCs w:val="26"/>
        </w:rPr>
      </w:pPr>
    </w:p>
    <w:p w:rsidR="00877547" w:rsidRPr="00D141C6" w:rsidRDefault="00CA0763" w:rsidP="00D141C6">
      <w:pPr>
        <w:pStyle w:val="BodyText"/>
        <w:spacing w:line="360" w:lineRule="auto"/>
        <w:rPr>
          <w:rFonts w:ascii="Bookman Old Style" w:hAnsi="Bookman Old Style"/>
          <w:i w:val="0"/>
          <w:sz w:val="26"/>
          <w:szCs w:val="26"/>
        </w:rPr>
      </w:pPr>
      <w:r w:rsidRPr="00D141C6">
        <w:rPr>
          <w:rFonts w:ascii="Bookman Old Style" w:hAnsi="Bookman Old Style"/>
          <w:i w:val="0"/>
          <w:sz w:val="26"/>
          <w:szCs w:val="26"/>
        </w:rPr>
        <w:t>The later</w:t>
      </w:r>
      <w:r w:rsidR="00877547" w:rsidRPr="00D141C6">
        <w:rPr>
          <w:rFonts w:ascii="Bookman Old Style" w:hAnsi="Bookman Old Style"/>
          <w:i w:val="0"/>
          <w:sz w:val="26"/>
          <w:szCs w:val="26"/>
        </w:rPr>
        <w:t xml:space="preserve"> act or </w:t>
      </w:r>
      <w:r w:rsidR="00B241E0" w:rsidRPr="00D141C6">
        <w:rPr>
          <w:rFonts w:ascii="Bookman Old Style" w:hAnsi="Bookman Old Style"/>
          <w:i w:val="0"/>
          <w:sz w:val="26"/>
          <w:szCs w:val="26"/>
        </w:rPr>
        <w:t xml:space="preserve">event </w:t>
      </w:r>
      <w:r w:rsidR="00877547" w:rsidRPr="00D141C6">
        <w:rPr>
          <w:rFonts w:ascii="Bookman Old Style" w:hAnsi="Bookman Old Style"/>
          <w:i w:val="0"/>
          <w:sz w:val="26"/>
          <w:szCs w:val="26"/>
        </w:rPr>
        <w:t>may be a superseding cause if both of the following statements are more likely true than not true:</w:t>
      </w:r>
    </w:p>
    <w:p w:rsidR="00D141C6" w:rsidRDefault="00D141C6" w:rsidP="00D141C6">
      <w:pPr>
        <w:pStyle w:val="BodyText"/>
        <w:spacing w:line="360" w:lineRule="auto"/>
        <w:rPr>
          <w:rFonts w:ascii="Bookman Old Style" w:hAnsi="Bookman Old Style"/>
          <w:i w:val="0"/>
          <w:sz w:val="26"/>
          <w:szCs w:val="26"/>
        </w:rPr>
      </w:pPr>
    </w:p>
    <w:p w:rsidR="00877547" w:rsidRDefault="00877547" w:rsidP="00D141C6">
      <w:pPr>
        <w:pStyle w:val="BodyText"/>
        <w:tabs>
          <w:tab w:val="clear" w:pos="-720"/>
          <w:tab w:val="clear" w:pos="0"/>
        </w:tabs>
        <w:spacing w:line="360" w:lineRule="auto"/>
        <w:ind w:firstLine="720"/>
        <w:rPr>
          <w:rFonts w:ascii="Bookman Old Style" w:hAnsi="Bookman Old Style"/>
          <w:i w:val="0"/>
          <w:sz w:val="26"/>
          <w:szCs w:val="26"/>
        </w:rPr>
      </w:pPr>
      <w:r w:rsidRPr="00D141C6">
        <w:rPr>
          <w:rFonts w:ascii="Bookman Old Style" w:hAnsi="Bookman Old Style"/>
          <w:i w:val="0"/>
          <w:sz w:val="26"/>
          <w:szCs w:val="26"/>
        </w:rPr>
        <w:t>(1)</w:t>
      </w:r>
      <w:r w:rsidRPr="00D141C6">
        <w:rPr>
          <w:rFonts w:ascii="Bookman Old Style" w:hAnsi="Bookman Old Style"/>
          <w:i w:val="0"/>
          <w:sz w:val="26"/>
          <w:szCs w:val="26"/>
        </w:rPr>
        <w:tab/>
        <w:t xml:space="preserve">the other act or </w:t>
      </w:r>
      <w:r w:rsidR="00B241E0" w:rsidRPr="00D141C6">
        <w:rPr>
          <w:rFonts w:ascii="Bookman Old Style" w:hAnsi="Bookman Old Style"/>
          <w:i w:val="0"/>
          <w:sz w:val="26"/>
          <w:szCs w:val="26"/>
        </w:rPr>
        <w:t xml:space="preserve">event </w:t>
      </w:r>
      <w:r w:rsidRPr="00D141C6">
        <w:rPr>
          <w:rFonts w:ascii="Bookman Old Style" w:hAnsi="Bookman Old Style"/>
          <w:i w:val="0"/>
          <w:sz w:val="26"/>
          <w:szCs w:val="26"/>
        </w:rPr>
        <w:t xml:space="preserve">was outside the scope of the foreseeable risk posed by the defendant's conduct, and had no reasonable connection to it; and </w:t>
      </w:r>
    </w:p>
    <w:p w:rsidR="00D141C6" w:rsidRPr="00D141C6" w:rsidRDefault="00D141C6" w:rsidP="00D141C6">
      <w:pPr>
        <w:pStyle w:val="BodyText"/>
        <w:tabs>
          <w:tab w:val="clear" w:pos="-720"/>
          <w:tab w:val="clear" w:pos="0"/>
        </w:tabs>
        <w:spacing w:line="360" w:lineRule="auto"/>
        <w:ind w:firstLine="720"/>
        <w:rPr>
          <w:rFonts w:ascii="Bookman Old Style" w:hAnsi="Bookman Old Style"/>
          <w:i w:val="0"/>
          <w:sz w:val="26"/>
          <w:szCs w:val="26"/>
        </w:rPr>
      </w:pPr>
    </w:p>
    <w:p w:rsidR="00877547" w:rsidRDefault="00CA0763" w:rsidP="00D141C6">
      <w:pPr>
        <w:pStyle w:val="BodyTextIndent"/>
        <w:spacing w:before="0" w:after="0"/>
        <w:rPr>
          <w:rFonts w:ascii="Bookman Old Style" w:hAnsi="Bookman Old Style"/>
          <w:sz w:val="26"/>
          <w:szCs w:val="26"/>
        </w:rPr>
      </w:pPr>
      <w:r w:rsidRPr="00D141C6">
        <w:rPr>
          <w:rFonts w:ascii="Bookman Old Style" w:hAnsi="Bookman Old Style"/>
          <w:sz w:val="26"/>
          <w:szCs w:val="26"/>
        </w:rPr>
        <w:t>(2)</w:t>
      </w:r>
      <w:r w:rsidRPr="00D141C6">
        <w:rPr>
          <w:rFonts w:ascii="Bookman Old Style" w:hAnsi="Bookman Old Style"/>
          <w:sz w:val="26"/>
          <w:szCs w:val="26"/>
        </w:rPr>
        <w:tab/>
        <w:t>in hindsight, it is</w:t>
      </w:r>
      <w:r w:rsidR="00877547" w:rsidRPr="00D141C6">
        <w:rPr>
          <w:rFonts w:ascii="Bookman Old Style" w:hAnsi="Bookman Old Style"/>
          <w:sz w:val="26"/>
          <w:szCs w:val="26"/>
        </w:rPr>
        <w:t xml:space="preserve"> highly extraordinary that the defendant's conduct would bring about the plaintiff's harm.</w:t>
      </w:r>
    </w:p>
    <w:p w:rsidR="00D141C6" w:rsidRPr="00D141C6" w:rsidRDefault="00D141C6" w:rsidP="00D141C6">
      <w:pPr>
        <w:pStyle w:val="BodyTextIndent"/>
        <w:spacing w:before="0" w:after="0"/>
        <w:rPr>
          <w:rFonts w:ascii="Bookman Old Style" w:hAnsi="Bookman Old Style"/>
          <w:sz w:val="26"/>
          <w:szCs w:val="26"/>
        </w:rPr>
      </w:pPr>
    </w:p>
    <w:p w:rsidR="00877547" w:rsidRPr="00D141C6" w:rsidRDefault="00B241E0" w:rsidP="00D141C6">
      <w:pPr>
        <w:pStyle w:val="BodyTextIndent"/>
        <w:spacing w:before="0" w:after="0"/>
        <w:ind w:firstLine="0"/>
        <w:rPr>
          <w:rFonts w:ascii="Bookman Old Style" w:hAnsi="Bookman Old Style"/>
          <w:sz w:val="26"/>
          <w:szCs w:val="26"/>
        </w:rPr>
      </w:pPr>
      <w:r w:rsidRPr="00D141C6">
        <w:rPr>
          <w:rFonts w:ascii="Bookman Old Style" w:hAnsi="Bookman Old Style"/>
          <w:sz w:val="26"/>
          <w:szCs w:val="26"/>
        </w:rPr>
        <w:t>I</w:t>
      </w:r>
      <w:r w:rsidR="00877547" w:rsidRPr="00D141C6">
        <w:rPr>
          <w:rFonts w:ascii="Bookman Old Style" w:hAnsi="Bookman Old Style"/>
          <w:sz w:val="26"/>
          <w:szCs w:val="26"/>
        </w:rPr>
        <w:t xml:space="preserve">f you find that both of these statements are true, then you may find that the other act or </w:t>
      </w:r>
      <w:r w:rsidRPr="00D141C6">
        <w:rPr>
          <w:rFonts w:ascii="Bookman Old Style" w:hAnsi="Bookman Old Style"/>
          <w:sz w:val="26"/>
          <w:szCs w:val="26"/>
        </w:rPr>
        <w:t>event wa</w:t>
      </w:r>
      <w:r w:rsidR="00877547" w:rsidRPr="00D141C6">
        <w:rPr>
          <w:rFonts w:ascii="Bookman Old Style" w:hAnsi="Bookman Old Style"/>
          <w:sz w:val="26"/>
          <w:szCs w:val="26"/>
        </w:rPr>
        <w:t xml:space="preserve">s a superseding cause and that the defendant </w:t>
      </w:r>
      <w:r w:rsidRPr="00D141C6">
        <w:rPr>
          <w:rFonts w:ascii="Bookman Old Style" w:hAnsi="Bookman Old Style"/>
          <w:sz w:val="26"/>
          <w:szCs w:val="26"/>
        </w:rPr>
        <w:t xml:space="preserve">is not responsible </w:t>
      </w:r>
      <w:r w:rsidR="004B718A" w:rsidRPr="00D141C6">
        <w:rPr>
          <w:rFonts w:ascii="Bookman Old Style" w:hAnsi="Bookman Old Style"/>
          <w:sz w:val="26"/>
          <w:szCs w:val="26"/>
        </w:rPr>
        <w:t xml:space="preserve">for </w:t>
      </w:r>
      <w:r w:rsidR="00877547" w:rsidRPr="00D141C6">
        <w:rPr>
          <w:rFonts w:ascii="Bookman Old Style" w:hAnsi="Bookman Old Style"/>
          <w:sz w:val="26"/>
          <w:szCs w:val="26"/>
        </w:rPr>
        <w:t>the plaintiff's harm.</w:t>
      </w:r>
    </w:p>
    <w:p w:rsidR="00D141C6" w:rsidRDefault="00D141C6" w:rsidP="00D141C6">
      <w:pPr>
        <w:pStyle w:val="Heading1"/>
        <w:jc w:val="center"/>
        <w:rPr>
          <w:rFonts w:ascii="Bookman Old Style" w:hAnsi="Bookman Old Style"/>
          <w:sz w:val="24"/>
        </w:rPr>
      </w:pPr>
    </w:p>
    <w:p w:rsidR="00877547" w:rsidRPr="00766DFF" w:rsidRDefault="00D141C6" w:rsidP="00D141C6">
      <w:pPr>
        <w:pStyle w:val="Heading1"/>
        <w:jc w:val="center"/>
        <w:rPr>
          <w:rFonts w:ascii="Bookman Old Style" w:hAnsi="Bookman Old Style"/>
          <w:sz w:val="26"/>
          <w:szCs w:val="26"/>
        </w:rPr>
      </w:pPr>
      <w:r w:rsidRPr="00766DFF">
        <w:rPr>
          <w:rFonts w:ascii="Bookman Old Style" w:hAnsi="Bookman Old Style"/>
          <w:sz w:val="26"/>
          <w:szCs w:val="26"/>
        </w:rPr>
        <w:t>Direction</w:t>
      </w:r>
      <w:r w:rsidR="00E7196E" w:rsidRPr="00766DFF">
        <w:rPr>
          <w:rFonts w:ascii="Bookman Old Style" w:hAnsi="Bookman Old Style"/>
          <w:sz w:val="26"/>
          <w:szCs w:val="26"/>
        </w:rPr>
        <w:t>s</w:t>
      </w:r>
      <w:r w:rsidRPr="00766DFF">
        <w:rPr>
          <w:rFonts w:ascii="Bookman Old Style" w:hAnsi="Bookman Old Style"/>
          <w:sz w:val="26"/>
          <w:szCs w:val="26"/>
        </w:rPr>
        <w:t xml:space="preserve"> for Use</w:t>
      </w:r>
    </w:p>
    <w:p w:rsidR="00877547" w:rsidRPr="00766DFF" w:rsidRDefault="00877547" w:rsidP="00D141C6">
      <w:pPr>
        <w:rPr>
          <w:rFonts w:ascii="Bookman Old Style" w:hAnsi="Bookman Old Style"/>
          <w:sz w:val="26"/>
          <w:szCs w:val="26"/>
        </w:rPr>
      </w:pPr>
    </w:p>
    <w:p w:rsidR="00877547" w:rsidRPr="00766DFF" w:rsidRDefault="00877547" w:rsidP="00D141C6">
      <w:pPr>
        <w:rPr>
          <w:rFonts w:ascii="Bookman Old Style" w:hAnsi="Bookman Old Style"/>
          <w:sz w:val="26"/>
          <w:szCs w:val="26"/>
        </w:rPr>
      </w:pPr>
      <w:r w:rsidRPr="00766DFF">
        <w:rPr>
          <w:rFonts w:ascii="Bookman Old Style" w:hAnsi="Bookman Old Style"/>
          <w:sz w:val="26"/>
          <w:szCs w:val="26"/>
        </w:rPr>
        <w:t xml:space="preserve">This instruction should be given immediately following </w:t>
      </w:r>
      <w:r w:rsidR="00D141C6" w:rsidRPr="00766DFF">
        <w:rPr>
          <w:rFonts w:ascii="Bookman Old Style" w:hAnsi="Bookman Old Style"/>
          <w:sz w:val="26"/>
          <w:szCs w:val="26"/>
        </w:rPr>
        <w:t>I</w:t>
      </w:r>
      <w:r w:rsidRPr="00766DFF">
        <w:rPr>
          <w:rFonts w:ascii="Bookman Old Style" w:hAnsi="Bookman Old Style"/>
          <w:sz w:val="26"/>
          <w:szCs w:val="26"/>
        </w:rPr>
        <w:t>nstruction 3.0</w:t>
      </w:r>
      <w:r w:rsidR="00D141C6" w:rsidRPr="00766DFF">
        <w:rPr>
          <w:rFonts w:ascii="Bookman Old Style" w:hAnsi="Bookman Old Style"/>
          <w:sz w:val="26"/>
          <w:szCs w:val="26"/>
        </w:rPr>
        <w:t>8 (Multiple Causes)</w:t>
      </w:r>
      <w:r w:rsidRPr="00766DFF">
        <w:rPr>
          <w:rFonts w:ascii="Bookman Old Style" w:hAnsi="Bookman Old Style"/>
          <w:sz w:val="26"/>
          <w:szCs w:val="26"/>
        </w:rPr>
        <w:t xml:space="preserve"> if the facts present an issue of an intervening force which may be a superseding cause.</w:t>
      </w:r>
    </w:p>
    <w:p w:rsidR="00877547" w:rsidRPr="00766DFF" w:rsidRDefault="00877547" w:rsidP="00D141C6">
      <w:pPr>
        <w:rPr>
          <w:rFonts w:ascii="Bookman Old Style" w:hAnsi="Bookman Old Style"/>
          <w:sz w:val="26"/>
          <w:szCs w:val="26"/>
        </w:rPr>
      </w:pPr>
    </w:p>
    <w:p w:rsidR="00877547" w:rsidRPr="00766DFF" w:rsidRDefault="00877547" w:rsidP="00D141C6">
      <w:pPr>
        <w:pStyle w:val="Julia"/>
        <w:widowControl/>
        <w:suppressAutoHyphens w:val="0"/>
        <w:spacing w:line="240" w:lineRule="auto"/>
        <w:jc w:val="center"/>
        <w:rPr>
          <w:snapToGrid/>
          <w:spacing w:val="0"/>
          <w:szCs w:val="26"/>
          <w:u w:val="single"/>
        </w:rPr>
      </w:pPr>
      <w:r w:rsidRPr="00766DFF">
        <w:rPr>
          <w:snapToGrid/>
          <w:spacing w:val="0"/>
          <w:szCs w:val="26"/>
          <w:u w:val="single"/>
        </w:rPr>
        <w:t>Comment</w:t>
      </w:r>
    </w:p>
    <w:p w:rsidR="00877547" w:rsidRPr="00766DFF" w:rsidRDefault="00877547" w:rsidP="00D141C6">
      <w:pPr>
        <w:pStyle w:val="Julia"/>
        <w:widowControl/>
        <w:suppressAutoHyphens w:val="0"/>
        <w:spacing w:line="240" w:lineRule="auto"/>
        <w:jc w:val="center"/>
        <w:rPr>
          <w:snapToGrid/>
          <w:spacing w:val="0"/>
          <w:szCs w:val="26"/>
          <w:u w:val="single"/>
        </w:rPr>
      </w:pPr>
    </w:p>
    <w:p w:rsidR="00877547" w:rsidRPr="00766DFF" w:rsidRDefault="00877547" w:rsidP="00D141C6">
      <w:pPr>
        <w:pStyle w:val="BodyTextIndent"/>
        <w:spacing w:before="0" w:after="0" w:line="240" w:lineRule="auto"/>
        <w:ind w:firstLine="0"/>
        <w:rPr>
          <w:rFonts w:ascii="Bookman Old Style" w:hAnsi="Bookman Old Style"/>
          <w:sz w:val="26"/>
          <w:szCs w:val="26"/>
        </w:rPr>
      </w:pPr>
      <w:r w:rsidRPr="00766DFF">
        <w:rPr>
          <w:rFonts w:ascii="Bookman Old Style" w:hAnsi="Bookman Old Style"/>
          <w:sz w:val="26"/>
          <w:szCs w:val="26"/>
        </w:rPr>
        <w:t xml:space="preserve">A force which actively operates to produce harm to another after the defendant’s negligent act or omission has been committed is an intervening force. </w:t>
      </w:r>
      <w:r w:rsidRPr="00766DFF">
        <w:rPr>
          <w:rFonts w:ascii="Bookman Old Style" w:hAnsi="Bookman Old Style"/>
          <w:i/>
          <w:iCs/>
          <w:sz w:val="26"/>
          <w:szCs w:val="26"/>
        </w:rPr>
        <w:t xml:space="preserve">Sharp v. </w:t>
      </w:r>
      <w:smartTag w:uri="urn:schemas-microsoft-com:office:smarttags" w:element="City">
        <w:smartTag w:uri="urn:schemas-microsoft-com:office:smarttags" w:element="place">
          <w:r w:rsidRPr="00766DFF">
            <w:rPr>
              <w:rFonts w:ascii="Bookman Old Style" w:hAnsi="Bookman Old Style"/>
              <w:i/>
              <w:iCs/>
              <w:sz w:val="26"/>
              <w:szCs w:val="26"/>
            </w:rPr>
            <w:t>Fairbanks</w:t>
          </w:r>
        </w:smartTag>
      </w:smartTag>
      <w:r w:rsidRPr="00766DFF">
        <w:rPr>
          <w:rFonts w:ascii="Bookman Old Style" w:hAnsi="Bookman Old Style"/>
          <w:i/>
          <w:iCs/>
          <w:sz w:val="26"/>
          <w:szCs w:val="26"/>
        </w:rPr>
        <w:t xml:space="preserve"> North Star Borough</w:t>
      </w:r>
      <w:r w:rsidR="001B527D" w:rsidRPr="00766DFF">
        <w:rPr>
          <w:rFonts w:ascii="Bookman Old Style" w:hAnsi="Bookman Old Style"/>
          <w:sz w:val="26"/>
          <w:szCs w:val="26"/>
        </w:rPr>
        <w:t xml:space="preserve">, 569 P.2d 178, </w:t>
      </w:r>
      <w:r w:rsidRPr="00766DFF">
        <w:rPr>
          <w:rFonts w:ascii="Bookman Old Style" w:hAnsi="Bookman Old Style"/>
          <w:sz w:val="26"/>
          <w:szCs w:val="26"/>
        </w:rPr>
        <w:t>182</w:t>
      </w:r>
      <w:r w:rsidR="001B527D" w:rsidRPr="00766DFF">
        <w:rPr>
          <w:rFonts w:ascii="Bookman Old Style" w:hAnsi="Bookman Old Style"/>
          <w:sz w:val="26"/>
          <w:szCs w:val="26"/>
        </w:rPr>
        <w:t xml:space="preserve"> </w:t>
      </w:r>
      <w:r w:rsidRPr="00766DFF">
        <w:rPr>
          <w:rFonts w:ascii="Bookman Old Style" w:hAnsi="Bookman Old Style"/>
          <w:sz w:val="26"/>
          <w:szCs w:val="26"/>
        </w:rPr>
        <w:t>(</w:t>
      </w:r>
      <w:smartTag w:uri="urn:schemas-microsoft-com:office:smarttags" w:element="State">
        <w:smartTag w:uri="urn:schemas-microsoft-com:office:smarttags" w:element="place">
          <w:r w:rsidRPr="00766DFF">
            <w:rPr>
              <w:rFonts w:ascii="Bookman Old Style" w:hAnsi="Bookman Old Style"/>
              <w:sz w:val="26"/>
              <w:szCs w:val="26"/>
            </w:rPr>
            <w:t>Alaska</w:t>
          </w:r>
        </w:smartTag>
      </w:smartTag>
      <w:r w:rsidRPr="00766DFF">
        <w:rPr>
          <w:rFonts w:ascii="Bookman Old Style" w:hAnsi="Bookman Old Style"/>
          <w:sz w:val="26"/>
          <w:szCs w:val="26"/>
        </w:rPr>
        <w:t xml:space="preserve"> 1977). In some circumstances, an intervening force may constitute a superseding legal cause of the plaintiff’s injuries relieving a responsible defendant of liability.  </w:t>
      </w:r>
      <w:r w:rsidRPr="00766DFF">
        <w:rPr>
          <w:rFonts w:ascii="Bookman Old Style" w:hAnsi="Bookman Old Style"/>
          <w:i/>
          <w:iCs/>
          <w:sz w:val="26"/>
          <w:szCs w:val="26"/>
        </w:rPr>
        <w:t xml:space="preserve">See, e.g.,   </w:t>
      </w:r>
      <w:smartTag w:uri="urn:schemas-microsoft-com:office:smarttags" w:element="City">
        <w:smartTag w:uri="urn:schemas-microsoft-com:office:smarttags" w:element="place">
          <w:r w:rsidRPr="00766DFF">
            <w:rPr>
              <w:rFonts w:ascii="Bookman Old Style" w:hAnsi="Bookman Old Style"/>
              <w:i/>
              <w:iCs/>
              <w:sz w:val="26"/>
              <w:szCs w:val="26"/>
            </w:rPr>
            <w:t>Griffith</w:t>
          </w:r>
        </w:smartTag>
      </w:smartTag>
      <w:r w:rsidRPr="00766DFF">
        <w:rPr>
          <w:rFonts w:ascii="Bookman Old Style" w:hAnsi="Bookman Old Style"/>
          <w:i/>
          <w:iCs/>
          <w:sz w:val="26"/>
          <w:szCs w:val="26"/>
        </w:rPr>
        <w:t xml:space="preserve"> v. </w:t>
      </w:r>
      <w:smartTag w:uri="urn:schemas-microsoft-com:office:smarttags" w:element="City">
        <w:smartTag w:uri="urn:schemas-microsoft-com:office:smarttags" w:element="place">
          <w:r w:rsidRPr="00766DFF">
            <w:rPr>
              <w:rFonts w:ascii="Bookman Old Style" w:hAnsi="Bookman Old Style"/>
              <w:sz w:val="26"/>
              <w:szCs w:val="26"/>
            </w:rPr>
            <w:t>Taylor</w:t>
          </w:r>
        </w:smartTag>
      </w:smartTag>
      <w:r w:rsidRPr="00766DFF">
        <w:rPr>
          <w:rFonts w:ascii="Bookman Old Style" w:hAnsi="Bookman Old Style"/>
          <w:sz w:val="26"/>
          <w:szCs w:val="26"/>
        </w:rPr>
        <w:t xml:space="preserve">, 12 P.3d </w:t>
      </w:r>
      <w:r w:rsidRPr="00766DFF">
        <w:rPr>
          <w:rFonts w:ascii="Bookman Old Style" w:hAnsi="Bookman Old Style"/>
          <w:sz w:val="26"/>
          <w:szCs w:val="26"/>
        </w:rPr>
        <w:lastRenderedPageBreak/>
        <w:t xml:space="preserve">1163, 1168 (Alaska 2000); </w:t>
      </w:r>
      <w:r w:rsidRPr="00766DFF">
        <w:rPr>
          <w:rFonts w:ascii="Bookman Old Style" w:hAnsi="Bookman Old Style"/>
          <w:i/>
          <w:iCs/>
          <w:sz w:val="26"/>
          <w:szCs w:val="26"/>
        </w:rPr>
        <w:t>City of Fairbanks v. Nesbett</w:t>
      </w:r>
      <w:r w:rsidRPr="00766DFF">
        <w:rPr>
          <w:rFonts w:ascii="Bookman Old Style" w:hAnsi="Bookman Old Style"/>
          <w:sz w:val="26"/>
          <w:szCs w:val="26"/>
        </w:rPr>
        <w:t>, 432 P.2d 607, 611 n.7 (</w:t>
      </w:r>
      <w:smartTag w:uri="urn:schemas-microsoft-com:office:smarttags" w:element="State">
        <w:smartTag w:uri="urn:schemas-microsoft-com:office:smarttags" w:element="place">
          <w:r w:rsidRPr="00766DFF">
            <w:rPr>
              <w:rFonts w:ascii="Bookman Old Style" w:hAnsi="Bookman Old Style"/>
              <w:sz w:val="26"/>
              <w:szCs w:val="26"/>
            </w:rPr>
            <w:t>Alaska</w:t>
          </w:r>
        </w:smartTag>
      </w:smartTag>
      <w:r w:rsidRPr="00766DFF">
        <w:rPr>
          <w:rFonts w:ascii="Bookman Old Style" w:hAnsi="Bookman Old Style"/>
          <w:sz w:val="26"/>
          <w:szCs w:val="26"/>
        </w:rPr>
        <w:t xml:space="preserve"> 1967). </w:t>
      </w:r>
    </w:p>
    <w:p w:rsidR="00877547" w:rsidRPr="00766DFF" w:rsidRDefault="00877547" w:rsidP="00D141C6">
      <w:pPr>
        <w:pStyle w:val="BodyTextIndent"/>
        <w:spacing w:before="0" w:after="0" w:line="240" w:lineRule="auto"/>
        <w:ind w:firstLine="0"/>
        <w:rPr>
          <w:rFonts w:ascii="Bookman Old Style" w:hAnsi="Bookman Old Style"/>
          <w:sz w:val="26"/>
          <w:szCs w:val="26"/>
        </w:rPr>
      </w:pPr>
      <w:r w:rsidRPr="00766DFF">
        <w:rPr>
          <w:rFonts w:ascii="Bookman Old Style" w:hAnsi="Bookman Old Style"/>
          <w:sz w:val="26"/>
          <w:szCs w:val="26"/>
        </w:rPr>
        <w:t xml:space="preserve">The doctrine of superseding cause also applies to claims for strict liability in tort.  </w:t>
      </w:r>
      <w:r w:rsidRPr="00766DFF">
        <w:rPr>
          <w:rFonts w:ascii="Bookman Old Style" w:hAnsi="Bookman Old Style"/>
          <w:i/>
          <w:iCs/>
          <w:sz w:val="26"/>
          <w:szCs w:val="26"/>
        </w:rPr>
        <w:t>See, e.g., Dura Corp. v. Harned</w:t>
      </w:r>
      <w:r w:rsidRPr="00766DFF">
        <w:rPr>
          <w:rFonts w:ascii="Bookman Old Style" w:hAnsi="Bookman Old Style"/>
          <w:sz w:val="26"/>
          <w:szCs w:val="26"/>
        </w:rPr>
        <w:t>, 703 P.2d 396, 402 (</w:t>
      </w:r>
      <w:smartTag w:uri="urn:schemas-microsoft-com:office:smarttags" w:element="State">
        <w:smartTag w:uri="urn:schemas-microsoft-com:office:smarttags" w:element="place">
          <w:r w:rsidRPr="00766DFF">
            <w:rPr>
              <w:rFonts w:ascii="Bookman Old Style" w:hAnsi="Bookman Old Style"/>
              <w:sz w:val="26"/>
              <w:szCs w:val="26"/>
            </w:rPr>
            <w:t>Alaska</w:t>
          </w:r>
        </w:smartTag>
      </w:smartTag>
      <w:r w:rsidRPr="00766DFF">
        <w:rPr>
          <w:rFonts w:ascii="Bookman Old Style" w:hAnsi="Bookman Old Style"/>
          <w:sz w:val="26"/>
          <w:szCs w:val="26"/>
        </w:rPr>
        <w:t xml:space="preserve"> 1985); </w:t>
      </w:r>
      <w:r w:rsidRPr="00766DFF">
        <w:rPr>
          <w:rFonts w:ascii="Bookman Old Style" w:hAnsi="Bookman Old Style"/>
          <w:i/>
          <w:iCs/>
          <w:sz w:val="26"/>
          <w:szCs w:val="26"/>
        </w:rPr>
        <w:t>Keogh v. W.R. Grasle, Inc.,</w:t>
      </w:r>
      <w:r w:rsidRPr="00766DFF">
        <w:rPr>
          <w:rFonts w:ascii="Bookman Old Style" w:hAnsi="Bookman Old Style"/>
          <w:sz w:val="26"/>
          <w:szCs w:val="26"/>
        </w:rPr>
        <w:t xml:space="preserve"> 816 P.2d 1343 (</w:t>
      </w:r>
      <w:smartTag w:uri="urn:schemas-microsoft-com:office:smarttags" w:element="State">
        <w:smartTag w:uri="urn:schemas-microsoft-com:office:smarttags" w:element="place">
          <w:r w:rsidRPr="00766DFF">
            <w:rPr>
              <w:rFonts w:ascii="Bookman Old Style" w:hAnsi="Bookman Old Style"/>
              <w:sz w:val="26"/>
              <w:szCs w:val="26"/>
            </w:rPr>
            <w:t>Alaska</w:t>
          </w:r>
        </w:smartTag>
      </w:smartTag>
      <w:r w:rsidRPr="00766DFF">
        <w:rPr>
          <w:rFonts w:ascii="Bookman Old Style" w:hAnsi="Bookman Old Style"/>
          <w:sz w:val="26"/>
          <w:szCs w:val="26"/>
        </w:rPr>
        <w:t xml:space="preserve"> 1991). A superseding cause instruction may be appropriate when a component part manufacturer alleges that the injury was caused by an inappropriate design decision by the manufacturer of a device into which the component part is incorporated, rather than by a defect in the component part.  </w:t>
      </w:r>
      <w:r w:rsidRPr="00766DFF">
        <w:rPr>
          <w:rFonts w:ascii="Bookman Old Style" w:hAnsi="Bookman Old Style"/>
          <w:i/>
          <w:iCs/>
          <w:sz w:val="26"/>
          <w:szCs w:val="26"/>
        </w:rPr>
        <w:t>Colt Industries Operating Corp. v. Frank W. Murphy Manufacturer, Inc.</w:t>
      </w:r>
      <w:r w:rsidRPr="00766DFF">
        <w:rPr>
          <w:rFonts w:ascii="Bookman Old Style" w:hAnsi="Bookman Old Style"/>
          <w:sz w:val="26"/>
          <w:szCs w:val="26"/>
        </w:rPr>
        <w:t>, 822 P.2d 925 (</w:t>
      </w:r>
      <w:smartTag w:uri="urn:schemas-microsoft-com:office:smarttags" w:element="State">
        <w:smartTag w:uri="urn:schemas-microsoft-com:office:smarttags" w:element="place">
          <w:r w:rsidRPr="00766DFF">
            <w:rPr>
              <w:rFonts w:ascii="Bookman Old Style" w:hAnsi="Bookman Old Style"/>
              <w:sz w:val="26"/>
              <w:szCs w:val="26"/>
            </w:rPr>
            <w:t>Alaska</w:t>
          </w:r>
        </w:smartTag>
      </w:smartTag>
      <w:r w:rsidRPr="00766DFF">
        <w:rPr>
          <w:rFonts w:ascii="Bookman Old Style" w:hAnsi="Bookman Old Style"/>
          <w:sz w:val="26"/>
          <w:szCs w:val="26"/>
        </w:rPr>
        <w:t xml:space="preserve"> 1991).</w:t>
      </w:r>
    </w:p>
    <w:p w:rsidR="001B527D" w:rsidRPr="00766DFF" w:rsidRDefault="001B527D" w:rsidP="00D141C6">
      <w:pPr>
        <w:pStyle w:val="BodyTextIndent"/>
        <w:spacing w:before="0" w:after="0" w:line="240" w:lineRule="auto"/>
        <w:ind w:firstLine="0"/>
        <w:rPr>
          <w:rFonts w:ascii="Bookman Old Style" w:hAnsi="Bookman Old Style"/>
          <w:sz w:val="26"/>
          <w:szCs w:val="26"/>
        </w:rPr>
      </w:pPr>
    </w:p>
    <w:p w:rsidR="00877547" w:rsidRPr="00766DFF" w:rsidRDefault="00877547" w:rsidP="00D141C6">
      <w:pPr>
        <w:pStyle w:val="BodyTextIndent"/>
        <w:spacing w:before="0" w:after="0" w:line="240" w:lineRule="auto"/>
        <w:ind w:firstLine="0"/>
        <w:rPr>
          <w:rFonts w:ascii="Bookman Old Style" w:hAnsi="Bookman Old Style"/>
          <w:sz w:val="26"/>
          <w:szCs w:val="26"/>
        </w:rPr>
      </w:pPr>
      <w:r w:rsidRPr="00766DFF">
        <w:rPr>
          <w:rFonts w:ascii="Bookman Old Style" w:hAnsi="Bookman Old Style"/>
          <w:sz w:val="26"/>
          <w:szCs w:val="26"/>
        </w:rPr>
        <w:t xml:space="preserve">The source of the first numbered statement is </w:t>
      </w:r>
      <w:smartTag w:uri="urn:schemas-microsoft-com:office:smarttags" w:element="place">
        <w:r w:rsidRPr="00766DFF">
          <w:rPr>
            <w:rFonts w:ascii="Bookman Old Style" w:hAnsi="Bookman Old Style"/>
            <w:sz w:val="26"/>
            <w:szCs w:val="26"/>
          </w:rPr>
          <w:t>W. Prosser</w:t>
        </w:r>
      </w:smartTag>
      <w:r w:rsidRPr="00766DFF">
        <w:rPr>
          <w:rFonts w:ascii="Bookman Old Style" w:hAnsi="Bookman Old Style"/>
          <w:sz w:val="26"/>
          <w:szCs w:val="26"/>
        </w:rPr>
        <w:t xml:space="preserve">, </w:t>
      </w:r>
      <w:r w:rsidRPr="00766DFF">
        <w:rPr>
          <w:rFonts w:ascii="Bookman Old Style" w:hAnsi="Bookman Old Style"/>
          <w:i/>
          <w:iCs/>
          <w:sz w:val="26"/>
          <w:szCs w:val="26"/>
        </w:rPr>
        <w:t>Law of Torts</w:t>
      </w:r>
      <w:r w:rsidRPr="00766DFF">
        <w:rPr>
          <w:rFonts w:ascii="Bookman Old Style" w:hAnsi="Bookman Old Style"/>
          <w:sz w:val="26"/>
          <w:szCs w:val="26"/>
        </w:rPr>
        <w:t xml:space="preserve"> Section 44, at 281 (4</w:t>
      </w:r>
      <w:r w:rsidRPr="00766DFF">
        <w:rPr>
          <w:rFonts w:ascii="Bookman Old Style" w:hAnsi="Bookman Old Style"/>
          <w:sz w:val="26"/>
          <w:szCs w:val="26"/>
          <w:vertAlign w:val="superscript"/>
        </w:rPr>
        <w:t>th</w:t>
      </w:r>
      <w:r w:rsidRPr="00766DFF">
        <w:rPr>
          <w:rFonts w:ascii="Bookman Old Style" w:hAnsi="Bookman Old Style"/>
          <w:sz w:val="26"/>
          <w:szCs w:val="26"/>
        </w:rPr>
        <w:t xml:space="preserve"> ed. 1971). It precludes a finding of superseding cause when an intervening force lies within the scope of or has a reasonable connection to the foreseeable risk caused by defendant’s conduct. </w:t>
      </w:r>
      <w:r w:rsidRPr="00766DFF">
        <w:rPr>
          <w:rFonts w:ascii="Bookman Old Style" w:hAnsi="Bookman Old Style"/>
          <w:i/>
          <w:iCs/>
          <w:sz w:val="26"/>
          <w:szCs w:val="26"/>
        </w:rPr>
        <w:t>E.g., Keogh v. W.R. Grasle, Inc.</w:t>
      </w:r>
      <w:r w:rsidRPr="00766DFF">
        <w:rPr>
          <w:rFonts w:ascii="Bookman Old Style" w:hAnsi="Bookman Old Style"/>
          <w:sz w:val="26"/>
          <w:szCs w:val="26"/>
        </w:rPr>
        <w:t>, 816 P.2d 1343, 1350 (</w:t>
      </w:r>
      <w:smartTag w:uri="urn:schemas-microsoft-com:office:smarttags" w:element="State">
        <w:smartTag w:uri="urn:schemas-microsoft-com:office:smarttags" w:element="place">
          <w:r w:rsidRPr="00766DFF">
            <w:rPr>
              <w:rFonts w:ascii="Bookman Old Style" w:hAnsi="Bookman Old Style"/>
              <w:sz w:val="26"/>
              <w:szCs w:val="26"/>
            </w:rPr>
            <w:t>Alaska</w:t>
          </w:r>
        </w:smartTag>
      </w:smartTag>
      <w:r w:rsidRPr="00766DFF">
        <w:rPr>
          <w:rFonts w:ascii="Bookman Old Style" w:hAnsi="Bookman Old Style"/>
          <w:sz w:val="26"/>
          <w:szCs w:val="26"/>
        </w:rPr>
        <w:t xml:space="preserve"> 1991). This rule is intended to prevent a  foreseeable intervening force from constituting a superseding cause.  </w:t>
      </w:r>
      <w:r w:rsidRPr="00766DFF">
        <w:rPr>
          <w:rFonts w:ascii="Bookman Old Style" w:hAnsi="Bookman Old Style"/>
          <w:i/>
          <w:iCs/>
          <w:sz w:val="26"/>
          <w:szCs w:val="26"/>
        </w:rPr>
        <w:t>Sharp</w:t>
      </w:r>
      <w:r w:rsidRPr="00766DFF">
        <w:rPr>
          <w:rFonts w:ascii="Bookman Old Style" w:hAnsi="Bookman Old Style"/>
          <w:sz w:val="26"/>
          <w:szCs w:val="26"/>
        </w:rPr>
        <w:t xml:space="preserve">, 569 P.2d at 182 n. 9.  It has been applied in a number of decisions. </w:t>
      </w:r>
      <w:r w:rsidRPr="00766DFF">
        <w:rPr>
          <w:rFonts w:ascii="Bookman Old Style" w:hAnsi="Bookman Old Style"/>
          <w:i/>
          <w:iCs/>
          <w:sz w:val="26"/>
          <w:szCs w:val="26"/>
        </w:rPr>
        <w:t>E.g., Fancyboy v. Alaska Village Electric Cooperative, Inc.</w:t>
      </w:r>
      <w:r w:rsidRPr="00766DFF">
        <w:rPr>
          <w:rFonts w:ascii="Bookman Old Style" w:hAnsi="Bookman Old Style"/>
          <w:sz w:val="26"/>
          <w:szCs w:val="26"/>
        </w:rPr>
        <w:t>, 984 P.2d 1128, 1134 (</w:t>
      </w:r>
      <w:smartTag w:uri="urn:schemas-microsoft-com:office:smarttags" w:element="State">
        <w:smartTag w:uri="urn:schemas-microsoft-com:office:smarttags" w:element="place">
          <w:r w:rsidRPr="00766DFF">
            <w:rPr>
              <w:rFonts w:ascii="Bookman Old Style" w:hAnsi="Bookman Old Style"/>
              <w:sz w:val="26"/>
              <w:szCs w:val="26"/>
            </w:rPr>
            <w:t>Alaska</w:t>
          </w:r>
        </w:smartTag>
      </w:smartTag>
      <w:r w:rsidRPr="00766DFF">
        <w:rPr>
          <w:rFonts w:ascii="Bookman Old Style" w:hAnsi="Bookman Old Style"/>
          <w:sz w:val="26"/>
          <w:szCs w:val="26"/>
        </w:rPr>
        <w:t xml:space="preserve"> 1999); </w:t>
      </w:r>
      <w:r w:rsidRPr="00766DFF">
        <w:rPr>
          <w:rFonts w:ascii="Bookman Old Style" w:hAnsi="Bookman Old Style"/>
          <w:i/>
          <w:iCs/>
          <w:sz w:val="26"/>
          <w:szCs w:val="26"/>
        </w:rPr>
        <w:t>Loeb v. Rasmussen</w:t>
      </w:r>
      <w:r w:rsidRPr="00766DFF">
        <w:rPr>
          <w:rFonts w:ascii="Bookman Old Style" w:hAnsi="Bookman Old Style"/>
          <w:sz w:val="26"/>
          <w:szCs w:val="26"/>
        </w:rPr>
        <w:t>, 822 P.2d 914, 920 (</w:t>
      </w:r>
      <w:smartTag w:uri="urn:schemas-microsoft-com:office:smarttags" w:element="State">
        <w:smartTag w:uri="urn:schemas-microsoft-com:office:smarttags" w:element="place">
          <w:r w:rsidRPr="00766DFF">
            <w:rPr>
              <w:rFonts w:ascii="Bookman Old Style" w:hAnsi="Bookman Old Style"/>
              <w:sz w:val="26"/>
              <w:szCs w:val="26"/>
            </w:rPr>
            <w:t>Alaska</w:t>
          </w:r>
        </w:smartTag>
      </w:smartTag>
      <w:r w:rsidRPr="00766DFF">
        <w:rPr>
          <w:rFonts w:ascii="Bookman Old Style" w:hAnsi="Bookman Old Style"/>
          <w:sz w:val="26"/>
          <w:szCs w:val="26"/>
        </w:rPr>
        <w:t xml:space="preserve"> 1991); </w:t>
      </w:r>
      <w:r w:rsidRPr="00766DFF">
        <w:rPr>
          <w:rFonts w:ascii="Bookman Old Style" w:hAnsi="Bookman Old Style"/>
          <w:i/>
          <w:iCs/>
          <w:sz w:val="26"/>
          <w:szCs w:val="26"/>
        </w:rPr>
        <w:t>Gonzales v. Krueger</w:t>
      </w:r>
      <w:r w:rsidRPr="00766DFF">
        <w:rPr>
          <w:rFonts w:ascii="Bookman Old Style" w:hAnsi="Bookman Old Style"/>
          <w:sz w:val="26"/>
          <w:szCs w:val="26"/>
        </w:rPr>
        <w:t>, 799 P.2d 1318, 1321 (</w:t>
      </w:r>
      <w:smartTag w:uri="urn:schemas-microsoft-com:office:smarttags" w:element="State">
        <w:smartTag w:uri="urn:schemas-microsoft-com:office:smarttags" w:element="place">
          <w:r w:rsidRPr="00766DFF">
            <w:rPr>
              <w:rFonts w:ascii="Bookman Old Style" w:hAnsi="Bookman Old Style"/>
              <w:sz w:val="26"/>
              <w:szCs w:val="26"/>
            </w:rPr>
            <w:t>Alaska</w:t>
          </w:r>
        </w:smartTag>
      </w:smartTag>
      <w:r w:rsidRPr="00766DFF">
        <w:rPr>
          <w:rFonts w:ascii="Bookman Old Style" w:hAnsi="Bookman Old Style"/>
          <w:sz w:val="26"/>
          <w:szCs w:val="26"/>
        </w:rPr>
        <w:t xml:space="preserve"> 1990); </w:t>
      </w:r>
      <w:r w:rsidRPr="00766DFF">
        <w:rPr>
          <w:rFonts w:ascii="Bookman Old Style" w:hAnsi="Bookman Old Style"/>
          <w:i/>
          <w:iCs/>
          <w:sz w:val="26"/>
          <w:szCs w:val="26"/>
        </w:rPr>
        <w:t xml:space="preserve">Gordon v. </w:t>
      </w:r>
      <w:smartTag w:uri="urn:schemas-microsoft-com:office:smarttags" w:element="State">
        <w:smartTag w:uri="urn:schemas-microsoft-com:office:smarttags" w:element="place">
          <w:r w:rsidRPr="00766DFF">
            <w:rPr>
              <w:rFonts w:ascii="Bookman Old Style" w:hAnsi="Bookman Old Style"/>
              <w:i/>
              <w:iCs/>
              <w:sz w:val="26"/>
              <w:szCs w:val="26"/>
            </w:rPr>
            <w:t>Alaska</w:t>
          </w:r>
        </w:smartTag>
      </w:smartTag>
      <w:r w:rsidRPr="00766DFF">
        <w:rPr>
          <w:rFonts w:ascii="Bookman Old Style" w:hAnsi="Bookman Old Style"/>
          <w:i/>
          <w:iCs/>
          <w:sz w:val="26"/>
          <w:szCs w:val="26"/>
        </w:rPr>
        <w:t xml:space="preserve"> Pacific Bancorporation</w:t>
      </w:r>
      <w:r w:rsidRPr="00766DFF">
        <w:rPr>
          <w:rFonts w:ascii="Bookman Old Style" w:hAnsi="Bookman Old Style"/>
          <w:sz w:val="26"/>
          <w:szCs w:val="26"/>
        </w:rPr>
        <w:t>, 753 P.2d 721, 725 (</w:t>
      </w:r>
      <w:smartTag w:uri="urn:schemas-microsoft-com:office:smarttags" w:element="State">
        <w:smartTag w:uri="urn:schemas-microsoft-com:office:smarttags" w:element="place">
          <w:r w:rsidRPr="00766DFF">
            <w:rPr>
              <w:rFonts w:ascii="Bookman Old Style" w:hAnsi="Bookman Old Style"/>
              <w:sz w:val="26"/>
              <w:szCs w:val="26"/>
            </w:rPr>
            <w:t>Alaska</w:t>
          </w:r>
        </w:smartTag>
      </w:smartTag>
      <w:r w:rsidRPr="00766DFF">
        <w:rPr>
          <w:rFonts w:ascii="Bookman Old Style" w:hAnsi="Bookman Old Style"/>
          <w:sz w:val="26"/>
          <w:szCs w:val="26"/>
        </w:rPr>
        <w:t xml:space="preserve"> 1988).    </w:t>
      </w:r>
    </w:p>
    <w:p w:rsidR="001B527D" w:rsidRPr="00766DFF" w:rsidRDefault="001B527D" w:rsidP="00D141C6">
      <w:pPr>
        <w:pStyle w:val="BodyTextIndent"/>
        <w:spacing w:before="0" w:after="0" w:line="240" w:lineRule="auto"/>
        <w:ind w:firstLine="0"/>
        <w:rPr>
          <w:rFonts w:ascii="Bookman Old Style" w:hAnsi="Bookman Old Style"/>
          <w:sz w:val="26"/>
          <w:szCs w:val="26"/>
        </w:rPr>
      </w:pPr>
    </w:p>
    <w:p w:rsidR="00877547" w:rsidRPr="00766DFF" w:rsidRDefault="00877547" w:rsidP="00D141C6">
      <w:pPr>
        <w:pStyle w:val="BodyTextIndent"/>
        <w:spacing w:before="0" w:after="0" w:line="240" w:lineRule="auto"/>
        <w:ind w:firstLine="0"/>
        <w:rPr>
          <w:rFonts w:ascii="Bookman Old Style" w:hAnsi="Bookman Old Style"/>
          <w:sz w:val="26"/>
          <w:szCs w:val="26"/>
        </w:rPr>
      </w:pPr>
      <w:r w:rsidRPr="00766DFF">
        <w:rPr>
          <w:rFonts w:ascii="Bookman Old Style" w:hAnsi="Bookman Old Style"/>
          <w:sz w:val="26"/>
          <w:szCs w:val="26"/>
        </w:rPr>
        <w:t xml:space="preserve">The source of the second numbered statement is Section 442(b) of the Restatement (Second) of Torts. It precludes an intervening force from constituting a superseding cause unless the intervening force or “the consequences thereof appear after the event to be extraordinary.” </w:t>
      </w:r>
      <w:smartTag w:uri="urn:schemas-microsoft-com:office:smarttags" w:element="State">
        <w:smartTag w:uri="urn:schemas-microsoft-com:office:smarttags" w:element="place">
          <w:r w:rsidRPr="00766DFF">
            <w:rPr>
              <w:rFonts w:ascii="Bookman Old Style" w:hAnsi="Bookman Old Style"/>
              <w:i/>
              <w:iCs/>
              <w:sz w:val="26"/>
              <w:szCs w:val="26"/>
            </w:rPr>
            <w:t>Id.</w:t>
          </w:r>
        </w:smartTag>
      </w:smartTag>
      <w:r w:rsidRPr="00766DFF">
        <w:rPr>
          <w:rFonts w:ascii="Bookman Old Style" w:hAnsi="Bookman Old Style"/>
          <w:sz w:val="26"/>
          <w:szCs w:val="26"/>
        </w:rPr>
        <w:t xml:space="preserve">  Foreseeability to the defendant is irrelevant. </w:t>
      </w:r>
      <w:r w:rsidRPr="00766DFF">
        <w:rPr>
          <w:rFonts w:ascii="Bookman Old Style" w:hAnsi="Bookman Old Style"/>
          <w:i/>
          <w:iCs/>
          <w:sz w:val="26"/>
          <w:szCs w:val="26"/>
        </w:rPr>
        <w:t>E.g., Williford v. L.J. Carr Investments, Inc.</w:t>
      </w:r>
      <w:r w:rsidRPr="00766DFF">
        <w:rPr>
          <w:rFonts w:ascii="Bookman Old Style" w:hAnsi="Bookman Old Style"/>
          <w:sz w:val="26"/>
          <w:szCs w:val="26"/>
        </w:rPr>
        <w:t>, 783 P.2d 235, 237 (</w:t>
      </w:r>
      <w:smartTag w:uri="urn:schemas-microsoft-com:office:smarttags" w:element="State">
        <w:smartTag w:uri="urn:schemas-microsoft-com:office:smarttags" w:element="place">
          <w:r w:rsidRPr="00766DFF">
            <w:rPr>
              <w:rFonts w:ascii="Bookman Old Style" w:hAnsi="Bookman Old Style"/>
              <w:sz w:val="26"/>
              <w:szCs w:val="26"/>
            </w:rPr>
            <w:t>Alaska</w:t>
          </w:r>
        </w:smartTag>
      </w:smartTag>
      <w:r w:rsidRPr="00766DFF">
        <w:rPr>
          <w:rFonts w:ascii="Bookman Old Style" w:hAnsi="Bookman Old Style"/>
          <w:sz w:val="26"/>
          <w:szCs w:val="26"/>
        </w:rPr>
        <w:t xml:space="preserve"> 1989).  The standard is whether, looking back on the defendant’s conduct, the intervening force, and the resulting harm, it would be highly extraordinary to hold defendant responsible for plaintiff’s injuries. </w:t>
      </w:r>
      <w:r w:rsidRPr="00766DFF">
        <w:rPr>
          <w:rFonts w:ascii="Bookman Old Style" w:hAnsi="Bookman Old Style"/>
          <w:i/>
          <w:iCs/>
          <w:sz w:val="26"/>
          <w:szCs w:val="26"/>
        </w:rPr>
        <w:t>E.g., Chenega Corp. v. Exxon Corp.</w:t>
      </w:r>
      <w:r w:rsidRPr="00766DFF">
        <w:rPr>
          <w:rFonts w:ascii="Bookman Old Style" w:hAnsi="Bookman Old Style"/>
          <w:sz w:val="26"/>
          <w:szCs w:val="26"/>
        </w:rPr>
        <w:t>, 991 P.2d 769, 798 (</w:t>
      </w:r>
      <w:smartTag w:uri="urn:schemas-microsoft-com:office:smarttags" w:element="State">
        <w:smartTag w:uri="urn:schemas-microsoft-com:office:smarttags" w:element="place">
          <w:r w:rsidRPr="00766DFF">
            <w:rPr>
              <w:rFonts w:ascii="Bookman Old Style" w:hAnsi="Bookman Old Style"/>
              <w:sz w:val="26"/>
              <w:szCs w:val="26"/>
            </w:rPr>
            <w:t>Alaska</w:t>
          </w:r>
        </w:smartTag>
      </w:smartTag>
      <w:r w:rsidRPr="00766DFF">
        <w:rPr>
          <w:rFonts w:ascii="Bookman Old Style" w:hAnsi="Bookman Old Style"/>
          <w:sz w:val="26"/>
          <w:szCs w:val="26"/>
        </w:rPr>
        <w:t xml:space="preserve"> 1999); </w:t>
      </w:r>
      <w:r w:rsidRPr="00766DFF">
        <w:rPr>
          <w:rFonts w:ascii="Bookman Old Style" w:hAnsi="Bookman Old Style"/>
          <w:i/>
          <w:iCs/>
          <w:sz w:val="26"/>
          <w:szCs w:val="26"/>
        </w:rPr>
        <w:t>Fancyboy,</w:t>
      </w:r>
      <w:r w:rsidRPr="00766DFF">
        <w:rPr>
          <w:rFonts w:ascii="Bookman Old Style" w:hAnsi="Bookman Old Style"/>
          <w:sz w:val="26"/>
          <w:szCs w:val="26"/>
        </w:rPr>
        <w:t xml:space="preserve"> 984 P.2d 1128, 1134 (</w:t>
      </w:r>
      <w:smartTag w:uri="urn:schemas-microsoft-com:office:smarttags" w:element="State">
        <w:smartTag w:uri="urn:schemas-microsoft-com:office:smarttags" w:element="place">
          <w:r w:rsidRPr="00766DFF">
            <w:rPr>
              <w:rFonts w:ascii="Bookman Old Style" w:hAnsi="Bookman Old Style"/>
              <w:sz w:val="26"/>
              <w:szCs w:val="26"/>
            </w:rPr>
            <w:t>Alaska</w:t>
          </w:r>
        </w:smartTag>
      </w:smartTag>
      <w:r w:rsidRPr="00766DFF">
        <w:rPr>
          <w:rFonts w:ascii="Bookman Old Style" w:hAnsi="Bookman Old Style"/>
          <w:sz w:val="26"/>
          <w:szCs w:val="26"/>
        </w:rPr>
        <w:t xml:space="preserve"> 1999); </w:t>
      </w:r>
      <w:r w:rsidRPr="00766DFF">
        <w:rPr>
          <w:rFonts w:ascii="Bookman Old Style" w:hAnsi="Bookman Old Style"/>
          <w:i/>
          <w:iCs/>
          <w:sz w:val="26"/>
          <w:szCs w:val="26"/>
        </w:rPr>
        <w:t>Keogh</w:t>
      </w:r>
      <w:r w:rsidRPr="00766DFF">
        <w:rPr>
          <w:rFonts w:ascii="Bookman Old Style" w:hAnsi="Bookman Old Style"/>
          <w:sz w:val="26"/>
          <w:szCs w:val="26"/>
        </w:rPr>
        <w:t xml:space="preserve">, 816 P.2d at 1350; </w:t>
      </w:r>
      <w:r w:rsidRPr="00766DFF">
        <w:rPr>
          <w:rFonts w:ascii="Bookman Old Style" w:hAnsi="Bookman Old Style"/>
          <w:i/>
          <w:iCs/>
          <w:sz w:val="26"/>
          <w:szCs w:val="26"/>
        </w:rPr>
        <w:t>Williford</w:t>
      </w:r>
      <w:r w:rsidRPr="00766DFF">
        <w:rPr>
          <w:rFonts w:ascii="Bookman Old Style" w:hAnsi="Bookman Old Style"/>
          <w:sz w:val="26"/>
          <w:szCs w:val="26"/>
        </w:rPr>
        <w:t xml:space="preserve">, 783 P.2d at 237-38.  </w:t>
      </w:r>
      <w:r w:rsidRPr="00766DFF">
        <w:rPr>
          <w:rFonts w:ascii="Bookman Old Style" w:hAnsi="Bookman Old Style"/>
          <w:i/>
          <w:iCs/>
          <w:sz w:val="26"/>
          <w:szCs w:val="26"/>
        </w:rPr>
        <w:t>Cf. State v. Malone</w:t>
      </w:r>
      <w:r w:rsidRPr="00766DFF">
        <w:rPr>
          <w:rFonts w:ascii="Bookman Old Style" w:hAnsi="Bookman Old Style"/>
          <w:sz w:val="26"/>
          <w:szCs w:val="26"/>
        </w:rPr>
        <w:t xml:space="preserve">, 819 P.2d 34, 37 (Alaska App. 1991) (criminal case on superseding cause).   </w:t>
      </w:r>
    </w:p>
    <w:p w:rsidR="001B527D" w:rsidRPr="00766DFF" w:rsidRDefault="001B527D" w:rsidP="00D141C6">
      <w:pPr>
        <w:pStyle w:val="BodyTextIndent"/>
        <w:spacing w:before="0" w:after="0" w:line="240" w:lineRule="auto"/>
        <w:ind w:firstLine="0"/>
        <w:rPr>
          <w:rFonts w:ascii="Bookman Old Style" w:hAnsi="Bookman Old Style"/>
          <w:sz w:val="26"/>
          <w:szCs w:val="26"/>
        </w:rPr>
      </w:pPr>
    </w:p>
    <w:p w:rsidR="00C657DB" w:rsidRPr="00766DFF" w:rsidRDefault="00877547" w:rsidP="00D141C6">
      <w:pPr>
        <w:pStyle w:val="BodyTextIndent"/>
        <w:spacing w:before="0" w:after="0" w:line="240" w:lineRule="auto"/>
        <w:ind w:firstLine="0"/>
        <w:rPr>
          <w:rFonts w:ascii="Bookman Old Style" w:hAnsi="Bookman Old Style"/>
          <w:sz w:val="26"/>
          <w:szCs w:val="26"/>
        </w:rPr>
      </w:pPr>
      <w:r w:rsidRPr="00766DFF">
        <w:rPr>
          <w:rFonts w:ascii="Bookman Old Style" w:hAnsi="Bookman Old Style"/>
          <w:sz w:val="26"/>
          <w:szCs w:val="26"/>
        </w:rPr>
        <w:t xml:space="preserve">Although not included in the instruction, five other factors set out in the Restatement (Second) of Torts section 442 as considerations important to determining whether an intervening force is a superseding cause have </w:t>
      </w:r>
      <w:r w:rsidRPr="00766DFF">
        <w:rPr>
          <w:rFonts w:ascii="Bookman Old Style" w:hAnsi="Bookman Old Style"/>
          <w:sz w:val="26"/>
          <w:szCs w:val="26"/>
        </w:rPr>
        <w:lastRenderedPageBreak/>
        <w:t xml:space="preserve">been referred to by the Alaska Supreme Court on several occasions. </w:t>
      </w:r>
      <w:r w:rsidRPr="00766DFF">
        <w:rPr>
          <w:rFonts w:ascii="Bookman Old Style" w:hAnsi="Bookman Old Style"/>
          <w:i/>
          <w:iCs/>
          <w:sz w:val="26"/>
          <w:szCs w:val="26"/>
        </w:rPr>
        <w:t xml:space="preserve"> E.g., Sharp</w:t>
      </w:r>
      <w:r w:rsidRPr="00766DFF">
        <w:rPr>
          <w:rFonts w:ascii="Bookman Old Style" w:hAnsi="Bookman Old Style"/>
          <w:sz w:val="26"/>
          <w:szCs w:val="26"/>
        </w:rPr>
        <w:t xml:space="preserve">, 569 P.2d at 183. With the exception of the extraordinariness factor in section 442(b), however, the Restatement factors have not been expressly adopted by the court as a necessary element of superseding cause. The court has also suggested that the Section 442 factor regarding the wrongful nature of the intervening act may be of questionable significance. </w:t>
      </w:r>
      <w:r w:rsidR="00311B2F" w:rsidRPr="00766DFF">
        <w:rPr>
          <w:rFonts w:ascii="Bookman Old Style" w:hAnsi="Bookman Old Style"/>
          <w:sz w:val="26"/>
          <w:szCs w:val="26"/>
        </w:rPr>
        <w:t xml:space="preserve"> </w:t>
      </w:r>
      <w:r w:rsidRPr="00766DFF">
        <w:rPr>
          <w:rFonts w:ascii="Bookman Old Style" w:hAnsi="Bookman Old Style"/>
          <w:i/>
          <w:iCs/>
          <w:sz w:val="26"/>
          <w:szCs w:val="26"/>
        </w:rPr>
        <w:t>Chenega</w:t>
      </w:r>
      <w:r w:rsidRPr="00766DFF">
        <w:rPr>
          <w:rFonts w:ascii="Bookman Old Style" w:hAnsi="Bookman Old Style"/>
          <w:sz w:val="26"/>
          <w:szCs w:val="26"/>
        </w:rPr>
        <w:t xml:space="preserve">, 991 P.2d at 998 (“the oft-cited maxim that criminal acts are superseding causes is merely a rule of thumb”). </w:t>
      </w:r>
      <w:r w:rsidRPr="00766DFF">
        <w:rPr>
          <w:rFonts w:ascii="Bookman Old Style" w:hAnsi="Bookman Old Style"/>
          <w:i/>
          <w:iCs/>
          <w:sz w:val="26"/>
          <w:szCs w:val="26"/>
        </w:rPr>
        <w:t>See Division of Corrections v. Neakok</w:t>
      </w:r>
      <w:r w:rsidRPr="00766DFF">
        <w:rPr>
          <w:rFonts w:ascii="Bookman Old Style" w:hAnsi="Bookman Old Style"/>
          <w:sz w:val="26"/>
          <w:szCs w:val="26"/>
        </w:rPr>
        <w:t>, 721 P.2D 1121, 1136 (</w:t>
      </w:r>
      <w:smartTag w:uri="urn:schemas-microsoft-com:office:smarttags" w:element="State">
        <w:smartTag w:uri="urn:schemas-microsoft-com:office:smarttags" w:element="place">
          <w:r w:rsidRPr="00766DFF">
            <w:rPr>
              <w:rFonts w:ascii="Bookman Old Style" w:hAnsi="Bookman Old Style"/>
              <w:sz w:val="26"/>
              <w:szCs w:val="26"/>
            </w:rPr>
            <w:t>Alaska</w:t>
          </w:r>
        </w:smartTag>
      </w:smartTag>
      <w:r w:rsidRPr="00766DFF">
        <w:rPr>
          <w:rFonts w:ascii="Bookman Old Style" w:hAnsi="Bookman Old Style"/>
          <w:sz w:val="26"/>
          <w:szCs w:val="26"/>
        </w:rPr>
        <w:t xml:space="preserve"> 1986).  </w:t>
      </w:r>
      <w:r w:rsidRPr="00766DFF">
        <w:rPr>
          <w:rFonts w:ascii="Bookman Old Style" w:hAnsi="Bookman Old Style"/>
          <w:i/>
          <w:iCs/>
          <w:sz w:val="26"/>
          <w:szCs w:val="26"/>
        </w:rPr>
        <w:t>But see Griffith v. Taylor</w:t>
      </w:r>
      <w:r w:rsidRPr="00766DFF">
        <w:rPr>
          <w:rFonts w:ascii="Bookman Old Style" w:hAnsi="Bookman Old Style"/>
          <w:sz w:val="26"/>
          <w:szCs w:val="26"/>
        </w:rPr>
        <w:t>, 12 P.3d 1163, 1168 (Alaska 2000) (A criminal act will ordinarily break the chain of causation.)</w:t>
      </w:r>
      <w:r w:rsidR="001B527D" w:rsidRPr="00766DFF">
        <w:rPr>
          <w:rFonts w:ascii="Bookman Old Style" w:hAnsi="Bookman Old Style"/>
          <w:sz w:val="26"/>
          <w:szCs w:val="26"/>
        </w:rPr>
        <w:t xml:space="preserve"> </w:t>
      </w:r>
    </w:p>
    <w:p w:rsidR="00C657DB" w:rsidRPr="00766DFF" w:rsidRDefault="00C657DB" w:rsidP="00D141C6">
      <w:pPr>
        <w:pStyle w:val="BodyTextIndent"/>
        <w:spacing w:before="0" w:after="0" w:line="240" w:lineRule="auto"/>
        <w:ind w:firstLine="0"/>
        <w:rPr>
          <w:rFonts w:ascii="Bookman Old Style" w:hAnsi="Bookman Old Style"/>
          <w:sz w:val="26"/>
          <w:szCs w:val="26"/>
        </w:rPr>
      </w:pPr>
    </w:p>
    <w:sectPr w:rsidR="00C657DB" w:rsidRPr="00766DFF" w:rsidSect="00D141C6">
      <w:footerReference w:type="even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E02" w:rsidRDefault="00F41E02">
      <w:r>
        <w:separator/>
      </w:r>
    </w:p>
  </w:endnote>
  <w:endnote w:type="continuationSeparator" w:id="0">
    <w:p w:rsidR="00F41E02" w:rsidRDefault="00F4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Italic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F71" w:rsidRDefault="00F24F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4F71" w:rsidRDefault="00F24F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F71" w:rsidRPr="00D141C6" w:rsidRDefault="00F24F71" w:rsidP="001F2D4C">
    <w:pPr>
      <w:pStyle w:val="Footer"/>
      <w:tabs>
        <w:tab w:val="clear" w:pos="8640"/>
        <w:tab w:val="right" w:pos="9360"/>
      </w:tabs>
      <w:rPr>
        <w:rFonts w:ascii="Bookman Old Style" w:hAnsi="Bookman Old Style"/>
        <w:smallCaps/>
        <w:sz w:val="24"/>
        <w:szCs w:val="24"/>
      </w:rPr>
    </w:pPr>
    <w:r>
      <w:rPr>
        <w:rFonts w:ascii="Bookman Old Style" w:hAnsi="Bookman Old Style"/>
        <w:smallCaps/>
        <w:sz w:val="24"/>
        <w:szCs w:val="24"/>
      </w:rPr>
      <w:t>2008</w:t>
    </w:r>
    <w:r w:rsidRPr="00D141C6">
      <w:rPr>
        <w:rFonts w:ascii="Bookman Old Style" w:hAnsi="Bookman Old Style"/>
        <w:smallCaps/>
        <w:sz w:val="24"/>
        <w:szCs w:val="24"/>
      </w:rPr>
      <w:tab/>
    </w:r>
    <w:r w:rsidRPr="00D141C6">
      <w:rPr>
        <w:rFonts w:ascii="Bookman Old Style" w:hAnsi="Bookman Old Style"/>
        <w:smallCaps/>
        <w:sz w:val="24"/>
        <w:szCs w:val="24"/>
      </w:rPr>
      <w:tab/>
      <w:t xml:space="preserve">03.09 - </w:t>
    </w:r>
    <w:r w:rsidRPr="00D141C6">
      <w:rPr>
        <w:rStyle w:val="PageNumber"/>
        <w:rFonts w:ascii="Bookman Old Style" w:hAnsi="Bookman Old Style"/>
        <w:sz w:val="24"/>
        <w:szCs w:val="24"/>
      </w:rPr>
      <w:fldChar w:fldCharType="begin"/>
    </w:r>
    <w:r w:rsidRPr="00D141C6">
      <w:rPr>
        <w:rStyle w:val="PageNumber"/>
        <w:rFonts w:ascii="Bookman Old Style" w:hAnsi="Bookman Old Style"/>
        <w:sz w:val="24"/>
        <w:szCs w:val="24"/>
      </w:rPr>
      <w:instrText xml:space="preserve"> PAGE </w:instrText>
    </w:r>
    <w:r w:rsidRPr="00D141C6">
      <w:rPr>
        <w:rStyle w:val="PageNumber"/>
        <w:rFonts w:ascii="Bookman Old Style" w:hAnsi="Bookman Old Style"/>
        <w:sz w:val="24"/>
        <w:szCs w:val="24"/>
      </w:rPr>
      <w:fldChar w:fldCharType="separate"/>
    </w:r>
    <w:r w:rsidR="00EB77B3">
      <w:rPr>
        <w:rStyle w:val="PageNumber"/>
        <w:rFonts w:ascii="Bookman Old Style" w:hAnsi="Bookman Old Style"/>
        <w:noProof/>
        <w:sz w:val="24"/>
        <w:szCs w:val="24"/>
      </w:rPr>
      <w:t>1</w:t>
    </w:r>
    <w:r w:rsidRPr="00D141C6">
      <w:rPr>
        <w:rStyle w:val="PageNumber"/>
        <w:rFonts w:ascii="Bookman Old Style" w:hAnsi="Bookman Old Style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E02" w:rsidRDefault="00F41E02">
      <w:r>
        <w:separator/>
      </w:r>
    </w:p>
  </w:footnote>
  <w:footnote w:type="continuationSeparator" w:id="0">
    <w:p w:rsidR="00F41E02" w:rsidRDefault="00F41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4C"/>
    <w:rsid w:val="001B527D"/>
    <w:rsid w:val="001C7A7C"/>
    <w:rsid w:val="001F2D4C"/>
    <w:rsid w:val="00227CDC"/>
    <w:rsid w:val="00311B2F"/>
    <w:rsid w:val="003774B8"/>
    <w:rsid w:val="00402722"/>
    <w:rsid w:val="004B718A"/>
    <w:rsid w:val="00515462"/>
    <w:rsid w:val="005B3019"/>
    <w:rsid w:val="006421DE"/>
    <w:rsid w:val="006E412D"/>
    <w:rsid w:val="00766DFF"/>
    <w:rsid w:val="00877547"/>
    <w:rsid w:val="008F3FBF"/>
    <w:rsid w:val="00985989"/>
    <w:rsid w:val="00A26766"/>
    <w:rsid w:val="00AF3374"/>
    <w:rsid w:val="00B241E0"/>
    <w:rsid w:val="00C657DB"/>
    <w:rsid w:val="00CA0763"/>
    <w:rsid w:val="00D141C6"/>
    <w:rsid w:val="00D97B8B"/>
    <w:rsid w:val="00DA47B3"/>
    <w:rsid w:val="00E126B3"/>
    <w:rsid w:val="00E7196E"/>
    <w:rsid w:val="00EB77B3"/>
    <w:rsid w:val="00F24F71"/>
    <w:rsid w:val="00F4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tabs>
        <w:tab w:val="left" w:pos="-720"/>
        <w:tab w:val="left" w:pos="0"/>
      </w:tabs>
      <w:suppressAutoHyphens/>
    </w:pPr>
    <w:rPr>
      <w:rFonts w:ascii="Univers Italic" w:hAnsi="Univers Italic"/>
      <w:i/>
      <w:snapToGrid w:val="0"/>
      <w:spacing w:val="-2"/>
      <w:sz w:val="20"/>
    </w:rPr>
  </w:style>
  <w:style w:type="paragraph" w:customStyle="1" w:styleId="blocktext">
    <w:name w:val="blocktext"/>
    <w:basedOn w:val="Normal"/>
    <w:next w:val="Normal"/>
    <w:pPr>
      <w:ind w:left="720" w:hanging="720"/>
    </w:pPr>
  </w:style>
  <w:style w:type="paragraph" w:customStyle="1" w:styleId="quote">
    <w:name w:val="quote"/>
    <w:basedOn w:val="BodyText"/>
    <w:next w:val="Normal"/>
    <w:pPr>
      <w:ind w:left="1440" w:right="1440"/>
    </w:pPr>
  </w:style>
  <w:style w:type="paragraph" w:customStyle="1" w:styleId="minutequote">
    <w:name w:val="minutequote"/>
    <w:basedOn w:val="Normal"/>
    <w:next w:val="Normal"/>
    <w:pPr>
      <w:ind w:left="1440" w:right="720"/>
    </w:pPr>
  </w:style>
  <w:style w:type="paragraph" w:customStyle="1" w:styleId="blockquote">
    <w:name w:val="block quote"/>
    <w:basedOn w:val="Normal"/>
    <w:next w:val="BodyText2"/>
    <w:pPr>
      <w:suppressAutoHyphens/>
      <w:ind w:left="1440" w:right="1440"/>
    </w:pPr>
    <w:rPr>
      <w:rFonts w:ascii="Univers" w:hAnsi="Univers"/>
      <w:snapToGrid w:val="0"/>
      <w:spacing w:val="-2"/>
      <w:sz w:val="20"/>
    </w:rPr>
  </w:style>
  <w:style w:type="paragraph" w:styleId="BodyText2">
    <w:name w:val="Body Text 2"/>
    <w:basedOn w:val="Normal"/>
    <w:pPr>
      <w:widowControl w:val="0"/>
      <w:tabs>
        <w:tab w:val="left" w:pos="0"/>
        <w:tab w:val="left" w:pos="720"/>
      </w:tabs>
      <w:suppressAutoHyphens/>
    </w:pPr>
    <w:rPr>
      <w:rFonts w:ascii="Univers" w:hAnsi="Univers"/>
      <w:snapToGrid w:val="0"/>
      <w:spacing w:val="-2"/>
      <w:sz w:val="20"/>
    </w:rPr>
  </w:style>
  <w:style w:type="character" w:customStyle="1" w:styleId="Style2">
    <w:name w:val="Style2"/>
    <w:basedOn w:val="DefaultParagraphFont"/>
    <w:rPr>
      <w:strike/>
      <w:dstrike w:val="0"/>
      <w:spacing w:val="-2"/>
    </w:rPr>
  </w:style>
  <w:style w:type="paragraph" w:customStyle="1" w:styleId="Commentary">
    <w:name w:val="Commentary"/>
    <w:basedOn w:val="Normal"/>
    <w:next w:val="Normal"/>
    <w:pPr>
      <w:widowControl w:val="0"/>
      <w:tabs>
        <w:tab w:val="left" w:pos="-720"/>
        <w:tab w:val="left" w:pos="720"/>
      </w:tabs>
      <w:suppressAutoHyphens/>
    </w:pPr>
    <w:rPr>
      <w:rFonts w:ascii="Univers" w:hAnsi="Univers"/>
      <w:snapToGrid w:val="0"/>
      <w:spacing w:val="-2"/>
      <w:sz w:val="20"/>
    </w:rPr>
  </w:style>
  <w:style w:type="paragraph" w:customStyle="1" w:styleId="Julia">
    <w:name w:val="Julia"/>
    <w:basedOn w:val="Normal"/>
    <w:pPr>
      <w:widowControl w:val="0"/>
      <w:suppressAutoHyphens/>
      <w:spacing w:line="360" w:lineRule="auto"/>
    </w:pPr>
    <w:rPr>
      <w:rFonts w:ascii="Bookman Old Style" w:hAnsi="Bookman Old Style"/>
      <w:snapToGrid w:val="0"/>
      <w:spacing w:val="-3"/>
      <w:sz w:val="26"/>
    </w:rPr>
  </w:style>
  <w:style w:type="paragraph" w:styleId="BodyTextIndent">
    <w:name w:val="Body Text Indent"/>
    <w:basedOn w:val="Normal"/>
    <w:pPr>
      <w:suppressAutoHyphens/>
      <w:spacing w:before="120" w:after="120" w:line="360" w:lineRule="auto"/>
      <w:ind w:firstLine="720"/>
    </w:pPr>
    <w:rPr>
      <w:rFonts w:ascii="Courier" w:hAnsi="Courier"/>
      <w:spacing w:val="-3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B24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tabs>
        <w:tab w:val="left" w:pos="-720"/>
        <w:tab w:val="left" w:pos="0"/>
      </w:tabs>
      <w:suppressAutoHyphens/>
    </w:pPr>
    <w:rPr>
      <w:rFonts w:ascii="Univers Italic" w:hAnsi="Univers Italic"/>
      <w:i/>
      <w:snapToGrid w:val="0"/>
      <w:spacing w:val="-2"/>
      <w:sz w:val="20"/>
    </w:rPr>
  </w:style>
  <w:style w:type="paragraph" w:customStyle="1" w:styleId="blocktext">
    <w:name w:val="blocktext"/>
    <w:basedOn w:val="Normal"/>
    <w:next w:val="Normal"/>
    <w:pPr>
      <w:ind w:left="720" w:hanging="720"/>
    </w:pPr>
  </w:style>
  <w:style w:type="paragraph" w:customStyle="1" w:styleId="quote">
    <w:name w:val="quote"/>
    <w:basedOn w:val="BodyText"/>
    <w:next w:val="Normal"/>
    <w:pPr>
      <w:ind w:left="1440" w:right="1440"/>
    </w:pPr>
  </w:style>
  <w:style w:type="paragraph" w:customStyle="1" w:styleId="minutequote">
    <w:name w:val="minutequote"/>
    <w:basedOn w:val="Normal"/>
    <w:next w:val="Normal"/>
    <w:pPr>
      <w:ind w:left="1440" w:right="720"/>
    </w:pPr>
  </w:style>
  <w:style w:type="paragraph" w:customStyle="1" w:styleId="blockquote">
    <w:name w:val="block quote"/>
    <w:basedOn w:val="Normal"/>
    <w:next w:val="BodyText2"/>
    <w:pPr>
      <w:suppressAutoHyphens/>
      <w:ind w:left="1440" w:right="1440"/>
    </w:pPr>
    <w:rPr>
      <w:rFonts w:ascii="Univers" w:hAnsi="Univers"/>
      <w:snapToGrid w:val="0"/>
      <w:spacing w:val="-2"/>
      <w:sz w:val="20"/>
    </w:rPr>
  </w:style>
  <w:style w:type="paragraph" w:styleId="BodyText2">
    <w:name w:val="Body Text 2"/>
    <w:basedOn w:val="Normal"/>
    <w:pPr>
      <w:widowControl w:val="0"/>
      <w:tabs>
        <w:tab w:val="left" w:pos="0"/>
        <w:tab w:val="left" w:pos="720"/>
      </w:tabs>
      <w:suppressAutoHyphens/>
    </w:pPr>
    <w:rPr>
      <w:rFonts w:ascii="Univers" w:hAnsi="Univers"/>
      <w:snapToGrid w:val="0"/>
      <w:spacing w:val="-2"/>
      <w:sz w:val="20"/>
    </w:rPr>
  </w:style>
  <w:style w:type="character" w:customStyle="1" w:styleId="Style2">
    <w:name w:val="Style2"/>
    <w:basedOn w:val="DefaultParagraphFont"/>
    <w:rPr>
      <w:strike/>
      <w:dstrike w:val="0"/>
      <w:spacing w:val="-2"/>
    </w:rPr>
  </w:style>
  <w:style w:type="paragraph" w:customStyle="1" w:styleId="Commentary">
    <w:name w:val="Commentary"/>
    <w:basedOn w:val="Normal"/>
    <w:next w:val="Normal"/>
    <w:pPr>
      <w:widowControl w:val="0"/>
      <w:tabs>
        <w:tab w:val="left" w:pos="-720"/>
        <w:tab w:val="left" w:pos="720"/>
      </w:tabs>
      <w:suppressAutoHyphens/>
    </w:pPr>
    <w:rPr>
      <w:rFonts w:ascii="Univers" w:hAnsi="Univers"/>
      <w:snapToGrid w:val="0"/>
      <w:spacing w:val="-2"/>
      <w:sz w:val="20"/>
    </w:rPr>
  </w:style>
  <w:style w:type="paragraph" w:customStyle="1" w:styleId="Julia">
    <w:name w:val="Julia"/>
    <w:basedOn w:val="Normal"/>
    <w:pPr>
      <w:widowControl w:val="0"/>
      <w:suppressAutoHyphens/>
      <w:spacing w:line="360" w:lineRule="auto"/>
    </w:pPr>
    <w:rPr>
      <w:rFonts w:ascii="Bookman Old Style" w:hAnsi="Bookman Old Style"/>
      <w:snapToGrid w:val="0"/>
      <w:spacing w:val="-3"/>
      <w:sz w:val="26"/>
    </w:rPr>
  </w:style>
  <w:style w:type="paragraph" w:styleId="BodyTextIndent">
    <w:name w:val="Body Text Indent"/>
    <w:basedOn w:val="Normal"/>
    <w:pPr>
      <w:suppressAutoHyphens/>
      <w:spacing w:before="120" w:after="120" w:line="360" w:lineRule="auto"/>
      <w:ind w:firstLine="720"/>
    </w:pPr>
    <w:rPr>
      <w:rFonts w:ascii="Courier" w:hAnsi="Courier"/>
      <w:spacing w:val="-3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B24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Alaska Court System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Christine Johnson</dc:creator>
  <cp:keywords/>
  <cp:lastModifiedBy>Michael Merrington</cp:lastModifiedBy>
  <cp:revision>3</cp:revision>
  <cp:lastPrinted>2008-07-16T18:53:00Z</cp:lastPrinted>
  <dcterms:created xsi:type="dcterms:W3CDTF">2017-04-04T18:47:00Z</dcterms:created>
  <dcterms:modified xsi:type="dcterms:W3CDTF">2017-04-04T18:47:00Z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1228294164</vt:i4>
  </property>
  <property fmtid="{D5CDD505-2E9C-101B-9397-08002B2CF9AE}" pid="3" name="_EmailSubject">
    <vt:lpwstr>Supplement 15</vt:lpwstr>
  </property>
  <property fmtid="{D5CDD505-2E9C-101B-9397-08002B2CF9AE}" pid="4" name="_AuthorEmail">
    <vt:lpwstr>jhoenack@courts.state.ak.us</vt:lpwstr>
  </property>
  <property fmtid="{D5CDD505-2E9C-101B-9397-08002B2CF9AE}" pid="5" name="_AuthorEmailDisplayName">
    <vt:lpwstr>Jennie Marshall-Hoenack</vt:lpwstr>
  </property>
  <property fmtid="{D5CDD505-2E9C-101B-9397-08002B2CF9AE}" pid="6" name="_ReviewingToolsShownOnce">
    <vt:lpwstr/>
  </property>
</Properties>
</file>