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BA" w:rsidRPr="00E31EE2" w:rsidRDefault="008250BA" w:rsidP="00E31EE2">
      <w:pPr>
        <w:spacing w:line="360" w:lineRule="auto"/>
        <w:rPr>
          <w:rFonts w:ascii="Bookman Old Style" w:hAnsi="Bookman Old Style"/>
          <w:b/>
          <w:bCs/>
          <w:sz w:val="26"/>
          <w:szCs w:val="26"/>
        </w:rPr>
      </w:pPr>
      <w:bookmarkStart w:id="0" w:name="_GoBack"/>
      <w:bookmarkEnd w:id="0"/>
      <w:r w:rsidRPr="00E31EE2">
        <w:rPr>
          <w:rFonts w:ascii="Bookman Old Style" w:hAnsi="Bookman Old Style"/>
          <w:b/>
          <w:bCs/>
          <w:sz w:val="26"/>
          <w:szCs w:val="26"/>
        </w:rPr>
        <w:t>03.</w:t>
      </w:r>
      <w:r w:rsidR="00EF1564">
        <w:rPr>
          <w:rFonts w:ascii="Bookman Old Style" w:hAnsi="Bookman Old Style"/>
          <w:b/>
          <w:bCs/>
          <w:sz w:val="26"/>
          <w:szCs w:val="26"/>
        </w:rPr>
        <w:t>11</w:t>
      </w:r>
      <w:r w:rsidRPr="00E31EE2">
        <w:rPr>
          <w:rFonts w:ascii="Bookman Old Style" w:hAnsi="Bookman Old Style"/>
          <w:b/>
          <w:bCs/>
          <w:sz w:val="26"/>
          <w:szCs w:val="26"/>
        </w:rPr>
        <w:t xml:space="preserve">  </w:t>
      </w:r>
      <w:r w:rsidR="00E31EE2" w:rsidRPr="00E31EE2">
        <w:rPr>
          <w:rFonts w:ascii="Bookman Old Style" w:hAnsi="Bookman Old Style"/>
          <w:b/>
          <w:bCs/>
          <w:sz w:val="26"/>
          <w:szCs w:val="26"/>
        </w:rPr>
        <w:tab/>
      </w:r>
      <w:r w:rsidRPr="00E31EE2">
        <w:rPr>
          <w:rFonts w:ascii="Bookman Old Style" w:hAnsi="Bookman Old Style"/>
          <w:b/>
          <w:bCs/>
          <w:sz w:val="26"/>
          <w:szCs w:val="26"/>
        </w:rPr>
        <w:t>“GOOD SAMARITAN” DEFENSE</w:t>
      </w:r>
    </w:p>
    <w:p w:rsidR="0080238F" w:rsidRPr="00FD2076" w:rsidRDefault="0080238F" w:rsidP="00E31EE2">
      <w:pPr>
        <w:spacing w:line="360" w:lineRule="auto"/>
        <w:rPr>
          <w:rFonts w:ascii="Bookman Old Style" w:hAnsi="Bookman Old Style"/>
          <w:sz w:val="26"/>
          <w:szCs w:val="26"/>
        </w:rPr>
      </w:pPr>
    </w:p>
    <w:p w:rsidR="004E3F5B" w:rsidRPr="00FD2076" w:rsidRDefault="008250BA" w:rsidP="00E31EE2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  <w:r w:rsidRPr="00FD2076">
        <w:rPr>
          <w:rFonts w:ascii="Bookman Old Style" w:hAnsi="Bookman Old Style"/>
          <w:sz w:val="26"/>
          <w:szCs w:val="26"/>
        </w:rPr>
        <w:t>The defendant is not liable for the plaintiff’s harm if it is more likely true than not true</w:t>
      </w:r>
      <w:r w:rsidR="00264E38" w:rsidRPr="00FD2076">
        <w:rPr>
          <w:rFonts w:ascii="Bookman Old Style" w:hAnsi="Bookman Old Style"/>
          <w:sz w:val="26"/>
          <w:szCs w:val="26"/>
        </w:rPr>
        <w:t xml:space="preserve"> that</w:t>
      </w:r>
      <w:r w:rsidRPr="00FD2076">
        <w:rPr>
          <w:rFonts w:ascii="Bookman Old Style" w:hAnsi="Bookman Old Style"/>
          <w:sz w:val="26"/>
          <w:szCs w:val="26"/>
        </w:rPr>
        <w:t>:</w:t>
      </w:r>
    </w:p>
    <w:p w:rsidR="008250BA" w:rsidRPr="00FD2076" w:rsidRDefault="00264E38" w:rsidP="00E31EE2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 w:rsidRPr="00FD2076">
        <w:rPr>
          <w:rFonts w:ascii="Bookman Old Style" w:hAnsi="Bookman Old Style"/>
          <w:sz w:val="26"/>
          <w:szCs w:val="26"/>
        </w:rPr>
        <w:t>(</w:t>
      </w:r>
      <w:r w:rsidR="008250BA" w:rsidRPr="00FD2076">
        <w:rPr>
          <w:rFonts w:ascii="Bookman Old Style" w:hAnsi="Bookman Old Style"/>
          <w:sz w:val="26"/>
          <w:szCs w:val="26"/>
        </w:rPr>
        <w:t>1</w:t>
      </w:r>
      <w:r w:rsidRPr="00FD2076">
        <w:rPr>
          <w:rFonts w:ascii="Bookman Old Style" w:hAnsi="Bookman Old Style"/>
          <w:sz w:val="26"/>
          <w:szCs w:val="26"/>
        </w:rPr>
        <w:t xml:space="preserve">) </w:t>
      </w:r>
      <w:r w:rsidR="00750DAA" w:rsidRPr="00FD2076">
        <w:rPr>
          <w:rFonts w:ascii="Bookman Old Style" w:hAnsi="Bookman Old Style"/>
          <w:sz w:val="26"/>
          <w:szCs w:val="26"/>
        </w:rPr>
        <w:tab/>
      </w:r>
      <w:r w:rsidR="008250BA" w:rsidRPr="00FD2076">
        <w:rPr>
          <w:rFonts w:ascii="Bookman Old Style" w:hAnsi="Bookman Old Style"/>
          <w:sz w:val="26"/>
          <w:szCs w:val="26"/>
        </w:rPr>
        <w:t xml:space="preserve">the defendant was </w:t>
      </w:r>
      <w:r w:rsidR="0044013B" w:rsidRPr="00FD2076">
        <w:rPr>
          <w:rFonts w:ascii="Bookman Old Style" w:hAnsi="Bookman Old Style"/>
          <w:sz w:val="26"/>
          <w:szCs w:val="26"/>
        </w:rPr>
        <w:t xml:space="preserve">providing </w:t>
      </w:r>
      <w:r w:rsidR="008250BA" w:rsidRPr="00FD2076">
        <w:rPr>
          <w:rFonts w:ascii="Bookman Old Style" w:hAnsi="Bookman Old Style"/>
          <w:sz w:val="26"/>
          <w:szCs w:val="26"/>
        </w:rPr>
        <w:t>emergency care or emergency counseling to the plaintiff</w:t>
      </w:r>
      <w:r w:rsidRPr="00FD2076">
        <w:rPr>
          <w:rFonts w:ascii="Bookman Old Style" w:hAnsi="Bookman Old Style"/>
          <w:sz w:val="26"/>
          <w:szCs w:val="26"/>
        </w:rPr>
        <w:t xml:space="preserve"> at the time the plaintiff was harmed</w:t>
      </w:r>
      <w:r w:rsidR="008250BA" w:rsidRPr="00FD2076">
        <w:rPr>
          <w:rFonts w:ascii="Bookman Old Style" w:hAnsi="Bookman Old Style"/>
          <w:sz w:val="26"/>
          <w:szCs w:val="26"/>
        </w:rPr>
        <w:t xml:space="preserve">; </w:t>
      </w:r>
      <w:r w:rsidR="0099779D" w:rsidRPr="00FD2076">
        <w:rPr>
          <w:rFonts w:ascii="Bookman Old Style" w:hAnsi="Bookman Old Style"/>
          <w:sz w:val="26"/>
          <w:szCs w:val="26"/>
        </w:rPr>
        <w:t>and</w:t>
      </w:r>
    </w:p>
    <w:p w:rsidR="0081060F" w:rsidRPr="00FD2076" w:rsidRDefault="00264E38" w:rsidP="00E31EE2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 w:rsidRPr="00FD2076">
        <w:rPr>
          <w:rFonts w:ascii="Bookman Old Style" w:hAnsi="Bookman Old Style"/>
          <w:sz w:val="26"/>
          <w:szCs w:val="26"/>
        </w:rPr>
        <w:t>(</w:t>
      </w:r>
      <w:r w:rsidR="008250BA" w:rsidRPr="00FD2076">
        <w:rPr>
          <w:rFonts w:ascii="Bookman Old Style" w:hAnsi="Bookman Old Style"/>
          <w:sz w:val="26"/>
          <w:szCs w:val="26"/>
        </w:rPr>
        <w:t>2</w:t>
      </w:r>
      <w:r w:rsidRPr="00FD2076">
        <w:rPr>
          <w:rFonts w:ascii="Bookman Old Style" w:hAnsi="Bookman Old Style"/>
          <w:sz w:val="26"/>
          <w:szCs w:val="26"/>
        </w:rPr>
        <w:t>)</w:t>
      </w:r>
      <w:r w:rsidR="008250BA" w:rsidRPr="00FD2076">
        <w:rPr>
          <w:rFonts w:ascii="Bookman Old Style" w:hAnsi="Bookman Old Style"/>
          <w:sz w:val="26"/>
          <w:szCs w:val="26"/>
        </w:rPr>
        <w:t xml:space="preserve"> </w:t>
      </w:r>
      <w:r w:rsidR="00750DAA" w:rsidRPr="00FD2076">
        <w:rPr>
          <w:rFonts w:ascii="Bookman Old Style" w:hAnsi="Bookman Old Style"/>
          <w:sz w:val="26"/>
          <w:szCs w:val="26"/>
        </w:rPr>
        <w:tab/>
      </w:r>
      <w:r w:rsidR="008250BA" w:rsidRPr="00FD2076">
        <w:rPr>
          <w:rFonts w:ascii="Bookman Old Style" w:hAnsi="Bookman Old Style"/>
          <w:sz w:val="26"/>
          <w:szCs w:val="26"/>
        </w:rPr>
        <w:t xml:space="preserve">the defendant reasonably believed that the plaintiff was </w:t>
      </w:r>
      <w:r w:rsidRPr="00FD2076">
        <w:rPr>
          <w:rFonts w:ascii="Bookman Old Style" w:hAnsi="Bookman Old Style"/>
          <w:sz w:val="26"/>
          <w:szCs w:val="26"/>
        </w:rPr>
        <w:t>in immediate need of emergency aid in order to avoid serious harm or death</w:t>
      </w:r>
      <w:r w:rsidR="0099779D" w:rsidRPr="00FD2076">
        <w:rPr>
          <w:rFonts w:ascii="Bookman Old Style" w:hAnsi="Bookman Old Style"/>
          <w:sz w:val="26"/>
          <w:szCs w:val="26"/>
        </w:rPr>
        <w:t>.</w:t>
      </w:r>
    </w:p>
    <w:p w:rsidR="0099779D" w:rsidRPr="00FD2076" w:rsidRDefault="0015129B" w:rsidP="00E31EE2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  <w:r w:rsidRPr="00FD2076">
        <w:rPr>
          <w:rFonts w:ascii="Bookman Old Style" w:hAnsi="Bookman Old Style"/>
          <w:sz w:val="26"/>
          <w:szCs w:val="26"/>
        </w:rPr>
        <w:t>[The defense is not available if</w:t>
      </w:r>
      <w:r w:rsidR="0099779D" w:rsidRPr="00FD2076">
        <w:rPr>
          <w:rFonts w:ascii="Bookman Old Style" w:hAnsi="Bookman Old Style"/>
          <w:sz w:val="26"/>
          <w:szCs w:val="26"/>
        </w:rPr>
        <w:t xml:space="preserve"> it is more likely tr</w:t>
      </w:r>
      <w:r w:rsidRPr="00FD2076">
        <w:rPr>
          <w:rFonts w:ascii="Bookman Old Style" w:hAnsi="Bookman Old Style"/>
          <w:sz w:val="26"/>
          <w:szCs w:val="26"/>
        </w:rPr>
        <w:t>ue than not true that the plain</w:t>
      </w:r>
      <w:r w:rsidR="0099779D" w:rsidRPr="00FD2076">
        <w:rPr>
          <w:rFonts w:ascii="Bookman Old Style" w:hAnsi="Bookman Old Style"/>
          <w:sz w:val="26"/>
          <w:szCs w:val="26"/>
        </w:rPr>
        <w:t>t</w:t>
      </w:r>
      <w:r w:rsidRPr="00FD2076">
        <w:rPr>
          <w:rFonts w:ascii="Bookman Old Style" w:hAnsi="Bookman Old Style"/>
          <w:sz w:val="26"/>
          <w:szCs w:val="26"/>
        </w:rPr>
        <w:t>i</w:t>
      </w:r>
      <w:r w:rsidR="0099779D" w:rsidRPr="00FD2076">
        <w:rPr>
          <w:rFonts w:ascii="Bookman Old Style" w:hAnsi="Bookman Old Style"/>
          <w:sz w:val="26"/>
          <w:szCs w:val="26"/>
        </w:rPr>
        <w:t>ff’s harm resulted from gross negligence</w:t>
      </w:r>
      <w:r w:rsidR="00FD2076" w:rsidRPr="00FD2076">
        <w:rPr>
          <w:rFonts w:ascii="Bookman Old Style" w:hAnsi="Bookman Old Style"/>
          <w:sz w:val="26"/>
          <w:szCs w:val="26"/>
        </w:rPr>
        <w:t>, reckless misconduct</w:t>
      </w:r>
      <w:r w:rsidRPr="00FD2076">
        <w:rPr>
          <w:rFonts w:ascii="Bookman Old Style" w:hAnsi="Bookman Old Style"/>
          <w:sz w:val="26"/>
          <w:szCs w:val="26"/>
        </w:rPr>
        <w:t xml:space="preserve">, or intentional misconduct </w:t>
      </w:r>
      <w:r w:rsidR="00750DAA" w:rsidRPr="00FD2076">
        <w:rPr>
          <w:rFonts w:ascii="Bookman Old Style" w:hAnsi="Bookman Old Style"/>
          <w:sz w:val="26"/>
          <w:szCs w:val="26"/>
        </w:rPr>
        <w:t>by the defendant.</w:t>
      </w:r>
    </w:p>
    <w:p w:rsidR="00FD2076" w:rsidRDefault="00FD2076" w:rsidP="00E31EE2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</w:p>
    <w:p w:rsidR="00FD2076" w:rsidRPr="00FD2076" w:rsidRDefault="00FD2076" w:rsidP="00E31EE2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  <w:r w:rsidRPr="00FD2076">
        <w:rPr>
          <w:rFonts w:ascii="Bookman Old Style" w:hAnsi="Bookman Old Style"/>
          <w:sz w:val="26"/>
          <w:szCs w:val="26"/>
        </w:rPr>
        <w:t xml:space="preserve">To understand </w:t>
      </w:r>
      <w:r>
        <w:rPr>
          <w:rFonts w:ascii="Bookman Old Style" w:hAnsi="Bookman Old Style"/>
          <w:sz w:val="26"/>
          <w:szCs w:val="26"/>
        </w:rPr>
        <w:t>“</w:t>
      </w:r>
      <w:r w:rsidRPr="00FD2076">
        <w:rPr>
          <w:rFonts w:ascii="Bookman Old Style" w:hAnsi="Bookman Old Style"/>
          <w:sz w:val="26"/>
          <w:szCs w:val="26"/>
        </w:rPr>
        <w:t>gross negligence,</w:t>
      </w:r>
      <w:r>
        <w:rPr>
          <w:rFonts w:ascii="Bookman Old Style" w:hAnsi="Bookman Old Style"/>
          <w:sz w:val="26"/>
          <w:szCs w:val="26"/>
        </w:rPr>
        <w:t>”</w:t>
      </w:r>
      <w:r w:rsidRPr="00FD2076">
        <w:rPr>
          <w:rFonts w:ascii="Bookman Old Style" w:hAnsi="Bookman Old Style"/>
          <w:sz w:val="26"/>
          <w:szCs w:val="26"/>
        </w:rPr>
        <w:t xml:space="preserve"> you must first understand what ordinary negligence means. Negligence is the failure to use reasonable care, which is </w:t>
      </w:r>
      <w:r w:rsidR="00D418D5">
        <w:rPr>
          <w:rFonts w:ascii="Bookman Old Style" w:hAnsi="Bookman Old Style"/>
          <w:sz w:val="26"/>
          <w:szCs w:val="26"/>
        </w:rPr>
        <w:t>the amount of care a reasonably</w:t>
      </w:r>
      <w:r w:rsidRPr="00FD2076">
        <w:rPr>
          <w:rFonts w:ascii="Bookman Old Style" w:hAnsi="Bookman Old Style"/>
          <w:sz w:val="26"/>
          <w:szCs w:val="26"/>
        </w:rPr>
        <w:t xml:space="preserve"> </w:t>
      </w:r>
      <w:r w:rsidR="00D418D5">
        <w:rPr>
          <w:rFonts w:ascii="Bookman Old Style" w:hAnsi="Bookman Old Style"/>
          <w:sz w:val="26"/>
          <w:szCs w:val="26"/>
        </w:rPr>
        <w:t>careful person would use in the same</w:t>
      </w:r>
      <w:r w:rsidRPr="00FD2076">
        <w:rPr>
          <w:rFonts w:ascii="Bookman Old Style" w:hAnsi="Bookman Old Style"/>
          <w:sz w:val="26"/>
          <w:szCs w:val="26"/>
        </w:rPr>
        <w:t xml:space="preserve"> situation. Gross negligence is an extreme departure from this standard. Gross negligence means more than ordinary inadvertence or inattention, but less than conscious indifference to consequences.</w:t>
      </w:r>
    </w:p>
    <w:p w:rsidR="000E3AF4" w:rsidRPr="00FD2076" w:rsidRDefault="000E3AF4" w:rsidP="00E31EE2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</w:p>
    <w:p w:rsidR="00FD2076" w:rsidRDefault="004E3F5B" w:rsidP="00E31EE2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A person engages in reckless misconduct when the person consciously disregards </w:t>
      </w:r>
      <w:r>
        <w:rPr>
          <w:rFonts w:ascii="Bookman Old Style" w:hAnsi="Bookman Old Style"/>
          <w:color w:val="000000"/>
          <w:sz w:val="26"/>
        </w:rPr>
        <w:t>a substantial and unjustifiable risk.  Disregard of this risk must be a gross deviation from the way a reasonable person would act.</w:t>
      </w:r>
    </w:p>
    <w:p w:rsidR="004E3F5B" w:rsidRPr="00FD2076" w:rsidRDefault="004E3F5B" w:rsidP="00E31EE2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</w:p>
    <w:p w:rsidR="0080238F" w:rsidRPr="00FD2076" w:rsidRDefault="0080238F" w:rsidP="00E31EE2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  <w:r w:rsidRPr="00FD2076">
        <w:rPr>
          <w:rFonts w:ascii="Bookman Old Style" w:hAnsi="Bookman Old Style"/>
          <w:sz w:val="26"/>
          <w:szCs w:val="26"/>
        </w:rPr>
        <w:t>“Intentional misconduct”</w:t>
      </w:r>
      <w:r w:rsidR="0081060F" w:rsidRPr="00FD2076">
        <w:rPr>
          <w:rFonts w:ascii="Bookman Old Style" w:hAnsi="Bookman Old Style"/>
          <w:sz w:val="26"/>
          <w:szCs w:val="26"/>
        </w:rPr>
        <w:t xml:space="preserve"> means</w:t>
      </w:r>
      <w:r w:rsidRPr="00FD2076">
        <w:rPr>
          <w:rFonts w:ascii="Bookman Old Style" w:hAnsi="Bookman Old Style"/>
          <w:sz w:val="26"/>
          <w:szCs w:val="26"/>
        </w:rPr>
        <w:t xml:space="preserve"> </w:t>
      </w:r>
      <w:r w:rsidR="0081060F" w:rsidRPr="00FD2076">
        <w:rPr>
          <w:rFonts w:ascii="Bookman Old Style" w:hAnsi="Bookman Old Style"/>
          <w:sz w:val="26"/>
          <w:szCs w:val="26"/>
        </w:rPr>
        <w:t xml:space="preserve">that the defendant acted, or failed to act, </w:t>
      </w:r>
      <w:r w:rsidR="0099779D" w:rsidRPr="00FD2076">
        <w:rPr>
          <w:rFonts w:ascii="Bookman Old Style" w:hAnsi="Bookman Old Style"/>
          <w:sz w:val="26"/>
          <w:szCs w:val="26"/>
        </w:rPr>
        <w:t xml:space="preserve">either </w:t>
      </w:r>
      <w:r w:rsidR="0081060F" w:rsidRPr="00FD2076">
        <w:rPr>
          <w:rFonts w:ascii="Bookman Old Style" w:hAnsi="Bookman Old Style"/>
          <w:sz w:val="26"/>
          <w:szCs w:val="26"/>
        </w:rPr>
        <w:t>with the purpose of harm</w:t>
      </w:r>
      <w:r w:rsidR="0099779D" w:rsidRPr="00FD2076">
        <w:rPr>
          <w:rFonts w:ascii="Bookman Old Style" w:hAnsi="Bookman Old Style"/>
          <w:sz w:val="26"/>
          <w:szCs w:val="26"/>
        </w:rPr>
        <w:t>ing</w:t>
      </w:r>
      <w:r w:rsidR="0081060F" w:rsidRPr="00FD2076">
        <w:rPr>
          <w:rFonts w:ascii="Bookman Old Style" w:hAnsi="Bookman Old Style"/>
          <w:sz w:val="26"/>
          <w:szCs w:val="26"/>
        </w:rPr>
        <w:t xml:space="preserve"> </w:t>
      </w:r>
      <w:r w:rsidR="0099779D" w:rsidRPr="00FD2076">
        <w:rPr>
          <w:rFonts w:ascii="Bookman Old Style" w:hAnsi="Bookman Old Style"/>
          <w:sz w:val="26"/>
          <w:szCs w:val="26"/>
        </w:rPr>
        <w:t xml:space="preserve">the plaintiff or knowing </w:t>
      </w:r>
      <w:r w:rsidR="0015129B" w:rsidRPr="00FD2076">
        <w:rPr>
          <w:rFonts w:ascii="Bookman Old Style" w:hAnsi="Bookman Old Style"/>
          <w:sz w:val="26"/>
          <w:szCs w:val="26"/>
        </w:rPr>
        <w:t>that [his] [</w:t>
      </w:r>
      <w:r w:rsidR="0081060F" w:rsidRPr="00FD2076">
        <w:rPr>
          <w:rFonts w:ascii="Bookman Old Style" w:hAnsi="Bookman Old Style"/>
          <w:sz w:val="26"/>
          <w:szCs w:val="26"/>
        </w:rPr>
        <w:t xml:space="preserve">her] </w:t>
      </w:r>
      <w:r w:rsidR="00E85721" w:rsidRPr="00FD2076">
        <w:rPr>
          <w:rFonts w:ascii="Bookman Old Style" w:hAnsi="Bookman Old Style"/>
          <w:sz w:val="26"/>
          <w:szCs w:val="26"/>
        </w:rPr>
        <w:t xml:space="preserve">act or failure to act </w:t>
      </w:r>
      <w:r w:rsidR="0081060F" w:rsidRPr="00FD2076">
        <w:rPr>
          <w:rFonts w:ascii="Bookman Old Style" w:hAnsi="Bookman Old Style"/>
          <w:sz w:val="26"/>
          <w:szCs w:val="26"/>
        </w:rPr>
        <w:t xml:space="preserve">was substantially certain to harm </w:t>
      </w:r>
      <w:r w:rsidR="0099779D" w:rsidRPr="00FD2076">
        <w:rPr>
          <w:rFonts w:ascii="Bookman Old Style" w:hAnsi="Bookman Old Style"/>
          <w:sz w:val="26"/>
          <w:szCs w:val="26"/>
        </w:rPr>
        <w:t>the plaintiff</w:t>
      </w:r>
      <w:r w:rsidRPr="00FD2076">
        <w:rPr>
          <w:rFonts w:ascii="Bookman Old Style" w:hAnsi="Bookman Old Style"/>
          <w:sz w:val="26"/>
          <w:szCs w:val="26"/>
        </w:rPr>
        <w:t>.</w:t>
      </w:r>
      <w:r w:rsidR="00750DAA" w:rsidRPr="00FD2076">
        <w:rPr>
          <w:rFonts w:ascii="Bookman Old Style" w:hAnsi="Bookman Old Style"/>
          <w:sz w:val="26"/>
          <w:szCs w:val="26"/>
        </w:rPr>
        <w:t>]</w:t>
      </w:r>
    </w:p>
    <w:p w:rsidR="00750DAA" w:rsidRPr="00750DAA" w:rsidRDefault="00750DAA" w:rsidP="00750DAA">
      <w:pPr>
        <w:spacing w:line="480" w:lineRule="auto"/>
        <w:jc w:val="both"/>
        <w:rPr>
          <w:rFonts w:ascii="Bookman Old Style" w:hAnsi="Bookman Old Style"/>
        </w:rPr>
      </w:pPr>
    </w:p>
    <w:p w:rsidR="00264E38" w:rsidRPr="00DF40E1" w:rsidRDefault="00E31EE2" w:rsidP="00264E38">
      <w:pPr>
        <w:jc w:val="center"/>
        <w:rPr>
          <w:rFonts w:ascii="Bookman Old Style" w:hAnsi="Bookman Old Style"/>
          <w:sz w:val="26"/>
          <w:szCs w:val="26"/>
        </w:rPr>
      </w:pPr>
      <w:r w:rsidRPr="00DF40E1">
        <w:rPr>
          <w:rFonts w:ascii="Bookman Old Style" w:hAnsi="Bookman Old Style"/>
          <w:sz w:val="26"/>
          <w:szCs w:val="26"/>
          <w:u w:val="single"/>
        </w:rPr>
        <w:lastRenderedPageBreak/>
        <w:t>Direction</w:t>
      </w:r>
      <w:r w:rsidR="000A2C20" w:rsidRPr="00DF40E1">
        <w:rPr>
          <w:rFonts w:ascii="Bookman Old Style" w:hAnsi="Bookman Old Style"/>
          <w:sz w:val="26"/>
          <w:szCs w:val="26"/>
          <w:u w:val="single"/>
        </w:rPr>
        <w:t>s</w:t>
      </w:r>
      <w:r w:rsidRPr="00DF40E1">
        <w:rPr>
          <w:rFonts w:ascii="Bookman Old Style" w:hAnsi="Bookman Old Style"/>
          <w:sz w:val="26"/>
          <w:szCs w:val="26"/>
          <w:u w:val="single"/>
        </w:rPr>
        <w:t xml:space="preserve"> for Use</w:t>
      </w:r>
    </w:p>
    <w:p w:rsidR="00264E38" w:rsidRPr="00DF40E1" w:rsidRDefault="00264E38" w:rsidP="00264E38">
      <w:pPr>
        <w:jc w:val="center"/>
        <w:rPr>
          <w:rFonts w:ascii="Bookman Old Style" w:hAnsi="Bookman Old Style"/>
          <w:sz w:val="26"/>
          <w:szCs w:val="26"/>
        </w:rPr>
      </w:pPr>
    </w:p>
    <w:p w:rsidR="00264E38" w:rsidRPr="00DF40E1" w:rsidRDefault="00264E38" w:rsidP="00750DAA">
      <w:pPr>
        <w:jc w:val="both"/>
        <w:rPr>
          <w:rFonts w:ascii="Bookman Old Style" w:hAnsi="Bookman Old Style"/>
          <w:sz w:val="26"/>
          <w:szCs w:val="26"/>
        </w:rPr>
      </w:pPr>
      <w:r w:rsidRPr="00DF40E1">
        <w:rPr>
          <w:rFonts w:ascii="Bookman Old Style" w:hAnsi="Bookman Old Style"/>
          <w:sz w:val="26"/>
          <w:szCs w:val="26"/>
        </w:rPr>
        <w:t xml:space="preserve">This instruction should be given in a negligence </w:t>
      </w:r>
      <w:r w:rsidR="009561C8" w:rsidRPr="00DF40E1">
        <w:rPr>
          <w:rFonts w:ascii="Bookman Old Style" w:hAnsi="Bookman Old Style"/>
          <w:sz w:val="26"/>
          <w:szCs w:val="26"/>
        </w:rPr>
        <w:t>case</w:t>
      </w:r>
      <w:r w:rsidRPr="00DF40E1">
        <w:rPr>
          <w:rFonts w:ascii="Bookman Old Style" w:hAnsi="Bookman Old Style"/>
          <w:sz w:val="26"/>
          <w:szCs w:val="26"/>
        </w:rPr>
        <w:t xml:space="preserve"> arising out of a defendant’s voluntary efforts to help a person in need of emergency aid.</w:t>
      </w:r>
      <w:r w:rsidR="009561C8" w:rsidRPr="00DF40E1">
        <w:rPr>
          <w:rFonts w:ascii="Bookman Old Style" w:hAnsi="Bookman Old Style"/>
          <w:sz w:val="26"/>
          <w:szCs w:val="26"/>
        </w:rPr>
        <w:t xml:space="preserve">  It should not be given, however, in a case in which the defendant is a volunteer member of an emergency first aid, rescue, or search organization, for reasons discussed below in the Comment.</w:t>
      </w:r>
      <w:r w:rsidRPr="00DF40E1">
        <w:rPr>
          <w:rFonts w:ascii="Bookman Old Style" w:hAnsi="Bookman Old Style"/>
          <w:sz w:val="26"/>
          <w:szCs w:val="26"/>
        </w:rPr>
        <w:t xml:space="preserve">  </w:t>
      </w:r>
    </w:p>
    <w:p w:rsidR="007C4F16" w:rsidRPr="00DF40E1" w:rsidRDefault="007C4F16" w:rsidP="00264E38">
      <w:pPr>
        <w:rPr>
          <w:rFonts w:ascii="Bookman Old Style" w:hAnsi="Bookman Old Style"/>
          <w:sz w:val="26"/>
          <w:szCs w:val="26"/>
        </w:rPr>
      </w:pPr>
    </w:p>
    <w:p w:rsidR="00264E38" w:rsidRPr="00DF40E1" w:rsidRDefault="007C4F16" w:rsidP="007C4F16">
      <w:pPr>
        <w:jc w:val="center"/>
        <w:rPr>
          <w:rFonts w:ascii="Bookman Old Style" w:hAnsi="Bookman Old Style"/>
          <w:sz w:val="26"/>
          <w:szCs w:val="26"/>
        </w:rPr>
      </w:pPr>
      <w:r w:rsidRPr="00DF40E1">
        <w:rPr>
          <w:rFonts w:ascii="Bookman Old Style" w:hAnsi="Bookman Old Style"/>
          <w:sz w:val="26"/>
          <w:szCs w:val="26"/>
          <w:u w:val="single"/>
        </w:rPr>
        <w:t>Comment</w:t>
      </w:r>
    </w:p>
    <w:p w:rsidR="007C4F16" w:rsidRPr="00DF40E1" w:rsidRDefault="007C4F16" w:rsidP="007C4F16">
      <w:pPr>
        <w:jc w:val="center"/>
        <w:rPr>
          <w:rFonts w:ascii="Bookman Old Style" w:hAnsi="Bookman Old Style"/>
          <w:sz w:val="26"/>
          <w:szCs w:val="26"/>
        </w:rPr>
      </w:pPr>
    </w:p>
    <w:p w:rsidR="007C4F16" w:rsidRPr="00DF40E1" w:rsidRDefault="00CB1442" w:rsidP="00750DAA">
      <w:pPr>
        <w:jc w:val="both"/>
        <w:rPr>
          <w:rFonts w:ascii="Bookman Old Style" w:hAnsi="Bookman Old Style"/>
          <w:sz w:val="26"/>
          <w:szCs w:val="26"/>
        </w:rPr>
      </w:pPr>
      <w:smartTag w:uri="urn:schemas-microsoft-com:office:smarttags" w:element="State">
        <w:smartTag w:uri="urn:schemas-microsoft-com:office:smarttags" w:element="place">
          <w:r w:rsidRPr="00DF40E1">
            <w:rPr>
              <w:rFonts w:ascii="Bookman Old Style" w:hAnsi="Bookman Old Style"/>
              <w:sz w:val="26"/>
              <w:szCs w:val="26"/>
            </w:rPr>
            <w:t>Alaska</w:t>
          </w:r>
        </w:smartTag>
      </w:smartTag>
      <w:r w:rsidRPr="00DF40E1">
        <w:rPr>
          <w:rFonts w:ascii="Bookman Old Style" w:hAnsi="Bookman Old Style"/>
          <w:sz w:val="26"/>
          <w:szCs w:val="26"/>
        </w:rPr>
        <w:t xml:space="preserve">’s </w:t>
      </w:r>
      <w:r w:rsidR="007C4F16" w:rsidRPr="00DF40E1">
        <w:rPr>
          <w:rFonts w:ascii="Bookman Old Style" w:hAnsi="Bookman Old Style"/>
          <w:sz w:val="26"/>
          <w:szCs w:val="26"/>
        </w:rPr>
        <w:t xml:space="preserve">“Good Samaritan” defense </w:t>
      </w:r>
      <w:r w:rsidRPr="00DF40E1">
        <w:rPr>
          <w:rFonts w:ascii="Bookman Old Style" w:hAnsi="Bookman Old Style"/>
          <w:sz w:val="26"/>
          <w:szCs w:val="26"/>
        </w:rPr>
        <w:t>is statutory</w:t>
      </w:r>
      <w:r w:rsidR="00B43069" w:rsidRPr="00DF40E1">
        <w:rPr>
          <w:rFonts w:ascii="Bookman Old Style" w:hAnsi="Bookman Old Style"/>
          <w:sz w:val="26"/>
          <w:szCs w:val="26"/>
        </w:rPr>
        <w:t xml:space="preserve">, and this </w:t>
      </w:r>
      <w:r w:rsidRPr="00DF40E1">
        <w:rPr>
          <w:rFonts w:ascii="Bookman Old Style" w:hAnsi="Bookman Old Style"/>
          <w:sz w:val="26"/>
          <w:szCs w:val="26"/>
        </w:rPr>
        <w:t xml:space="preserve">instruction is derived from </w:t>
      </w:r>
      <w:r w:rsidR="007C4F16" w:rsidRPr="00DF40E1">
        <w:rPr>
          <w:rFonts w:ascii="Bookman Old Style" w:hAnsi="Bookman Old Style"/>
          <w:sz w:val="26"/>
          <w:szCs w:val="26"/>
        </w:rPr>
        <w:t>AS 09.65.090(a)</w:t>
      </w:r>
      <w:r w:rsidR="00B43069" w:rsidRPr="00DF40E1">
        <w:rPr>
          <w:rFonts w:ascii="Bookman Old Style" w:hAnsi="Bookman Old Style"/>
          <w:sz w:val="26"/>
          <w:szCs w:val="26"/>
        </w:rPr>
        <w:t>.  The statute, under stated</w:t>
      </w:r>
      <w:r w:rsidRPr="00DF40E1">
        <w:rPr>
          <w:rFonts w:ascii="Bookman Old Style" w:hAnsi="Bookman Old Style"/>
          <w:sz w:val="26"/>
          <w:szCs w:val="26"/>
        </w:rPr>
        <w:t xml:space="preserve"> circumstances</w:t>
      </w:r>
      <w:r w:rsidR="00B43069" w:rsidRPr="00DF40E1">
        <w:rPr>
          <w:rFonts w:ascii="Bookman Old Style" w:hAnsi="Bookman Old Style"/>
          <w:sz w:val="26"/>
          <w:szCs w:val="26"/>
        </w:rPr>
        <w:t xml:space="preserve">, </w:t>
      </w:r>
      <w:r w:rsidRPr="00DF40E1">
        <w:rPr>
          <w:rFonts w:ascii="Bookman Old Style" w:hAnsi="Bookman Old Style"/>
          <w:sz w:val="26"/>
          <w:szCs w:val="26"/>
        </w:rPr>
        <w:t xml:space="preserve">affords the defense to “[a] person at a hospital or any other location who renders emergency care or emergency counseling.”  </w:t>
      </w:r>
      <w:r w:rsidR="007C4F16" w:rsidRPr="00DF40E1">
        <w:rPr>
          <w:rFonts w:ascii="Bookman Old Style" w:hAnsi="Bookman Old Style"/>
          <w:sz w:val="26"/>
          <w:szCs w:val="26"/>
        </w:rPr>
        <w:t>Subsection (b)</w:t>
      </w:r>
      <w:r w:rsidR="00B43069" w:rsidRPr="00DF40E1">
        <w:rPr>
          <w:rFonts w:ascii="Bookman Old Style" w:hAnsi="Bookman Old Style"/>
          <w:sz w:val="26"/>
          <w:szCs w:val="26"/>
        </w:rPr>
        <w:t xml:space="preserve"> of the same statute</w:t>
      </w:r>
      <w:r w:rsidR="007C4F16" w:rsidRPr="00DF40E1">
        <w:rPr>
          <w:rFonts w:ascii="Bookman Old Style" w:hAnsi="Bookman Old Style"/>
          <w:sz w:val="26"/>
          <w:szCs w:val="26"/>
        </w:rPr>
        <w:t xml:space="preserve"> provides a defense </w:t>
      </w:r>
      <w:r w:rsidRPr="00DF40E1">
        <w:rPr>
          <w:rFonts w:ascii="Bookman Old Style" w:hAnsi="Bookman Old Style"/>
          <w:sz w:val="26"/>
          <w:szCs w:val="26"/>
        </w:rPr>
        <w:t xml:space="preserve">more specifically </w:t>
      </w:r>
      <w:r w:rsidR="007C4F16" w:rsidRPr="00DF40E1">
        <w:rPr>
          <w:rFonts w:ascii="Bookman Old Style" w:hAnsi="Bookman Old Style"/>
          <w:sz w:val="26"/>
          <w:szCs w:val="26"/>
        </w:rPr>
        <w:t>to a “member of an organization that exists for the purpose of providing emergency services</w:t>
      </w:r>
      <w:r w:rsidRPr="00DF40E1">
        <w:rPr>
          <w:rFonts w:ascii="Bookman Old Style" w:hAnsi="Bookman Old Style"/>
          <w:sz w:val="26"/>
          <w:szCs w:val="26"/>
        </w:rPr>
        <w:t>,</w:t>
      </w:r>
      <w:r w:rsidR="007C4F16" w:rsidRPr="00DF40E1">
        <w:rPr>
          <w:rFonts w:ascii="Bookman Old Style" w:hAnsi="Bookman Old Style"/>
          <w:sz w:val="26"/>
          <w:szCs w:val="26"/>
        </w:rPr>
        <w:t xml:space="preserve">” </w:t>
      </w:r>
      <w:r w:rsidRPr="00DF40E1">
        <w:rPr>
          <w:rFonts w:ascii="Bookman Old Style" w:hAnsi="Bookman Old Style"/>
          <w:sz w:val="26"/>
          <w:szCs w:val="26"/>
        </w:rPr>
        <w:t xml:space="preserve">if the defendant is acting as a “volunteer” as that term is defined in the statute and </w:t>
      </w:r>
      <w:r w:rsidR="007C4F16" w:rsidRPr="00DF40E1">
        <w:rPr>
          <w:rFonts w:ascii="Bookman Old Style" w:hAnsi="Bookman Old Style"/>
          <w:sz w:val="26"/>
          <w:szCs w:val="26"/>
        </w:rPr>
        <w:t>if harm “results from an act or omission in providing first aid, search, rescue, or other emergency services” to the plaintiff</w:t>
      </w:r>
      <w:r w:rsidRPr="00DF40E1">
        <w:rPr>
          <w:rFonts w:ascii="Bookman Old Style" w:hAnsi="Bookman Old Style"/>
          <w:sz w:val="26"/>
          <w:szCs w:val="26"/>
        </w:rPr>
        <w:t xml:space="preserve">.  The defense </w:t>
      </w:r>
      <w:r w:rsidR="007C4F16" w:rsidRPr="00DF40E1">
        <w:rPr>
          <w:rFonts w:ascii="Bookman Old Style" w:hAnsi="Bookman Old Style"/>
          <w:sz w:val="26"/>
          <w:szCs w:val="26"/>
        </w:rPr>
        <w:t xml:space="preserve">of subsection (b), however, appears unlikely to involve jury questions in the usual case, since, unlike the more general defense of subsection (a), </w:t>
      </w:r>
      <w:r w:rsidRPr="00DF40E1">
        <w:rPr>
          <w:rFonts w:ascii="Bookman Old Style" w:hAnsi="Bookman Old Style"/>
          <w:sz w:val="26"/>
          <w:szCs w:val="26"/>
        </w:rPr>
        <w:t xml:space="preserve">subsection (b) does not specifically </w:t>
      </w:r>
      <w:r w:rsidR="007C4F16" w:rsidRPr="00DF40E1">
        <w:rPr>
          <w:rFonts w:ascii="Bookman Old Style" w:hAnsi="Bookman Old Style"/>
          <w:sz w:val="26"/>
          <w:szCs w:val="26"/>
        </w:rPr>
        <w:t>require a reasonable belief on the part of the defendant that the plaintiff “is in immediate need of emergency aid in order to avoid serious harm or death.”</w:t>
      </w:r>
      <w:r w:rsidR="00B43069" w:rsidRPr="00DF40E1">
        <w:rPr>
          <w:rFonts w:ascii="Bookman Old Style" w:hAnsi="Bookman Old Style"/>
          <w:sz w:val="26"/>
          <w:szCs w:val="26"/>
        </w:rPr>
        <w:t xml:space="preserve">  I</w:t>
      </w:r>
      <w:r w:rsidRPr="00DF40E1">
        <w:rPr>
          <w:rFonts w:ascii="Bookman Old Style" w:hAnsi="Bookman Old Style"/>
          <w:sz w:val="26"/>
          <w:szCs w:val="26"/>
        </w:rPr>
        <w:t xml:space="preserve">nstruction </w:t>
      </w:r>
      <w:r w:rsidR="00B43069" w:rsidRPr="00DF40E1">
        <w:rPr>
          <w:rFonts w:ascii="Bookman Old Style" w:hAnsi="Bookman Old Style"/>
          <w:sz w:val="26"/>
          <w:szCs w:val="26"/>
        </w:rPr>
        <w:t>03.03E, therefore, is not intended to be used in a c</w:t>
      </w:r>
      <w:r w:rsidRPr="00DF40E1">
        <w:rPr>
          <w:rFonts w:ascii="Bookman Old Style" w:hAnsi="Bookman Old Style"/>
          <w:sz w:val="26"/>
          <w:szCs w:val="26"/>
        </w:rPr>
        <w:t>ase in which the defendant is a volunteer member of an emergency first aid, rescue, or search organization.</w:t>
      </w:r>
    </w:p>
    <w:p w:rsidR="007C4F16" w:rsidRPr="00DF40E1" w:rsidRDefault="007C4F16" w:rsidP="00750DAA">
      <w:pPr>
        <w:jc w:val="both"/>
        <w:rPr>
          <w:rFonts w:ascii="Bookman Old Style" w:hAnsi="Bookman Old Style"/>
          <w:sz w:val="26"/>
          <w:szCs w:val="26"/>
        </w:rPr>
      </w:pPr>
    </w:p>
    <w:p w:rsidR="007C4F16" w:rsidRPr="00DF40E1" w:rsidRDefault="007C4F16" w:rsidP="00750DAA">
      <w:pPr>
        <w:jc w:val="both"/>
        <w:rPr>
          <w:rFonts w:ascii="Bookman Old Style" w:hAnsi="Bookman Old Style"/>
          <w:sz w:val="26"/>
          <w:szCs w:val="26"/>
        </w:rPr>
      </w:pPr>
      <w:r w:rsidRPr="00DF40E1">
        <w:rPr>
          <w:rFonts w:ascii="Bookman Old Style" w:hAnsi="Bookman Old Style"/>
          <w:sz w:val="26"/>
          <w:szCs w:val="26"/>
        </w:rPr>
        <w:t xml:space="preserve">The Alaska Supreme Court has held that the “Good Samaritan” defense is unavailable if the defendant had a pre-existing duty to render aid.  </w:t>
      </w:r>
      <w:r w:rsidRPr="00DF40E1">
        <w:rPr>
          <w:rFonts w:ascii="Bookman Old Style" w:hAnsi="Bookman Old Style"/>
          <w:i/>
          <w:iCs/>
          <w:sz w:val="26"/>
          <w:szCs w:val="26"/>
        </w:rPr>
        <w:t xml:space="preserve">Deal v. </w:t>
      </w:r>
      <w:smartTag w:uri="urn:schemas-microsoft-com:office:smarttags" w:element="City">
        <w:smartTag w:uri="urn:schemas-microsoft-com:office:smarttags" w:element="place">
          <w:r w:rsidRPr="00DF40E1">
            <w:rPr>
              <w:rFonts w:ascii="Bookman Old Style" w:hAnsi="Bookman Old Style"/>
              <w:i/>
              <w:iCs/>
              <w:sz w:val="26"/>
              <w:szCs w:val="26"/>
            </w:rPr>
            <w:t>Kearney</w:t>
          </w:r>
        </w:smartTag>
      </w:smartTag>
      <w:r w:rsidRPr="00DF40E1">
        <w:rPr>
          <w:rFonts w:ascii="Bookman Old Style" w:hAnsi="Bookman Old Style"/>
          <w:sz w:val="26"/>
          <w:szCs w:val="26"/>
        </w:rPr>
        <w:t>, 851 P.2d 1353, 1357 (</w:t>
      </w:r>
      <w:smartTag w:uri="urn:schemas-microsoft-com:office:smarttags" w:element="State">
        <w:smartTag w:uri="urn:schemas-microsoft-com:office:smarttags" w:element="place">
          <w:r w:rsidRPr="00DF40E1">
            <w:rPr>
              <w:rFonts w:ascii="Bookman Old Style" w:hAnsi="Bookman Old Style"/>
              <w:sz w:val="26"/>
              <w:szCs w:val="26"/>
            </w:rPr>
            <w:t>Alaska</w:t>
          </w:r>
        </w:smartTag>
      </w:smartTag>
      <w:r w:rsidRPr="00DF40E1">
        <w:rPr>
          <w:rFonts w:ascii="Bookman Old Style" w:hAnsi="Bookman Old Style"/>
          <w:sz w:val="26"/>
          <w:szCs w:val="26"/>
        </w:rPr>
        <w:t xml:space="preserve"> 1993).</w:t>
      </w:r>
      <w:r w:rsidR="00B43069" w:rsidRPr="00DF40E1">
        <w:rPr>
          <w:rFonts w:ascii="Bookman Old Style" w:hAnsi="Bookman Old Style"/>
          <w:sz w:val="26"/>
          <w:szCs w:val="26"/>
        </w:rPr>
        <w:t xml:space="preserve">  Whether there is such a pre-existing duty is not</w:t>
      </w:r>
      <w:r w:rsidR="00AD7B73" w:rsidRPr="00DF40E1">
        <w:rPr>
          <w:rFonts w:ascii="Bookman Old Style" w:hAnsi="Bookman Old Style"/>
          <w:sz w:val="26"/>
          <w:szCs w:val="26"/>
        </w:rPr>
        <w:t xml:space="preserve"> included in Instruction 03.03E;</w:t>
      </w:r>
      <w:r w:rsidR="00B43069" w:rsidRPr="00DF40E1">
        <w:rPr>
          <w:rFonts w:ascii="Bookman Old Style" w:hAnsi="Bookman Old Style"/>
          <w:sz w:val="26"/>
          <w:szCs w:val="26"/>
        </w:rPr>
        <w:t xml:space="preserve"> however, as in most instances “[w]hether an actionable duty exists is a question of law and public policy.”  </w:t>
      </w:r>
      <w:r w:rsidR="00B43069" w:rsidRPr="00DF40E1">
        <w:rPr>
          <w:rFonts w:ascii="Bookman Old Style" w:hAnsi="Bookman Old Style"/>
          <w:i/>
          <w:iCs/>
          <w:sz w:val="26"/>
          <w:szCs w:val="26"/>
        </w:rPr>
        <w:t>Mesiar v. Heckman</w:t>
      </w:r>
      <w:r w:rsidR="00B43069" w:rsidRPr="00DF40E1">
        <w:rPr>
          <w:rFonts w:ascii="Bookman Old Style" w:hAnsi="Bookman Old Style"/>
          <w:sz w:val="26"/>
          <w:szCs w:val="26"/>
        </w:rPr>
        <w:t>, 964 P.2d 445, 448 (</w:t>
      </w:r>
      <w:smartTag w:uri="urn:schemas-microsoft-com:office:smarttags" w:element="State">
        <w:smartTag w:uri="urn:schemas-microsoft-com:office:smarttags" w:element="place">
          <w:r w:rsidR="00B43069" w:rsidRPr="00DF40E1">
            <w:rPr>
              <w:rFonts w:ascii="Bookman Old Style" w:hAnsi="Bookman Old Style"/>
              <w:sz w:val="26"/>
              <w:szCs w:val="26"/>
            </w:rPr>
            <w:t>Alaska</w:t>
          </w:r>
        </w:smartTag>
      </w:smartTag>
      <w:r w:rsidR="00B43069" w:rsidRPr="00DF40E1">
        <w:rPr>
          <w:rFonts w:ascii="Bookman Old Style" w:hAnsi="Bookman Old Style"/>
          <w:sz w:val="26"/>
          <w:szCs w:val="26"/>
        </w:rPr>
        <w:t xml:space="preserve"> 1998); </w:t>
      </w:r>
      <w:r w:rsidR="00B43069" w:rsidRPr="00DF40E1">
        <w:rPr>
          <w:rFonts w:ascii="Bookman Old Style" w:hAnsi="Bookman Old Style"/>
          <w:i/>
          <w:iCs/>
          <w:sz w:val="26"/>
          <w:szCs w:val="26"/>
        </w:rPr>
        <w:t xml:space="preserve">see also </w:t>
      </w:r>
      <w:r w:rsidR="00DF40E1">
        <w:rPr>
          <w:rFonts w:ascii="Bookman Old Style" w:hAnsi="Bookman Old Style"/>
          <w:i/>
          <w:iCs/>
          <w:sz w:val="26"/>
          <w:szCs w:val="26"/>
        </w:rPr>
        <w:t>State</w:t>
      </w:r>
      <w:r w:rsidR="00B43069" w:rsidRPr="00DF40E1">
        <w:rPr>
          <w:rFonts w:ascii="Bookman Old Style" w:hAnsi="Bookman Old Style"/>
          <w:i/>
          <w:iCs/>
          <w:sz w:val="26"/>
          <w:szCs w:val="26"/>
        </w:rPr>
        <w:t xml:space="preserve"> v. Sandsness</w:t>
      </w:r>
      <w:r w:rsidR="00B43069" w:rsidRPr="00DF40E1">
        <w:rPr>
          <w:rFonts w:ascii="Bookman Old Style" w:hAnsi="Bookman Old Style"/>
          <w:sz w:val="26"/>
          <w:szCs w:val="26"/>
        </w:rPr>
        <w:t xml:space="preserve">, 72 P.3d 299, 306 n. 41 (Alaska 2003), </w:t>
      </w:r>
      <w:r w:rsidR="00B43069" w:rsidRPr="00DF40E1">
        <w:rPr>
          <w:rFonts w:ascii="Bookman Old Style" w:hAnsi="Bookman Old Style"/>
          <w:i/>
          <w:iCs/>
          <w:sz w:val="26"/>
          <w:szCs w:val="26"/>
        </w:rPr>
        <w:t>quoting Division of Corrections v. Neakok</w:t>
      </w:r>
      <w:r w:rsidR="00B43069" w:rsidRPr="00DF40E1">
        <w:rPr>
          <w:rFonts w:ascii="Bookman Old Style" w:hAnsi="Bookman Old Style"/>
          <w:sz w:val="26"/>
          <w:szCs w:val="26"/>
        </w:rPr>
        <w:t>, 721 P.2d 1121, 1127 n. 7 (</w:t>
      </w:r>
      <w:smartTag w:uri="urn:schemas-microsoft-com:office:smarttags" w:element="State">
        <w:smartTag w:uri="urn:schemas-microsoft-com:office:smarttags" w:element="place">
          <w:r w:rsidR="00B43069" w:rsidRPr="00DF40E1">
            <w:rPr>
              <w:rFonts w:ascii="Bookman Old Style" w:hAnsi="Bookman Old Style"/>
              <w:sz w:val="26"/>
              <w:szCs w:val="26"/>
            </w:rPr>
            <w:t>Alaska</w:t>
          </w:r>
        </w:smartTag>
      </w:smartTag>
      <w:r w:rsidR="00B43069" w:rsidRPr="00DF40E1">
        <w:rPr>
          <w:rFonts w:ascii="Bookman Old Style" w:hAnsi="Bookman Old Style"/>
          <w:sz w:val="26"/>
          <w:szCs w:val="26"/>
        </w:rPr>
        <w:t xml:space="preserve"> 1986).  </w:t>
      </w:r>
      <w:r w:rsidR="00B43069" w:rsidRPr="00DF40E1">
        <w:rPr>
          <w:rFonts w:ascii="Bookman Old Style" w:hAnsi="Bookman Old Style"/>
          <w:i/>
          <w:iCs/>
          <w:sz w:val="26"/>
          <w:szCs w:val="26"/>
        </w:rPr>
        <w:t>Cf. Deal</w:t>
      </w:r>
      <w:r w:rsidR="00B43069" w:rsidRPr="00DF40E1">
        <w:rPr>
          <w:rFonts w:ascii="Bookman Old Style" w:hAnsi="Bookman Old Style"/>
          <w:sz w:val="26"/>
          <w:szCs w:val="26"/>
        </w:rPr>
        <w:t>, 851 P.2d at 1360-61 (evidence inadequate to support summary judgment on whether emergency-call physician had pre-existing duty).</w:t>
      </w:r>
    </w:p>
    <w:p w:rsidR="00E85721" w:rsidRPr="00DF40E1" w:rsidRDefault="00E85721" w:rsidP="00750DAA">
      <w:pPr>
        <w:jc w:val="both"/>
        <w:rPr>
          <w:rFonts w:ascii="Bookman Old Style" w:hAnsi="Bookman Old Style"/>
          <w:sz w:val="26"/>
          <w:szCs w:val="26"/>
        </w:rPr>
      </w:pPr>
    </w:p>
    <w:p w:rsidR="0099779D" w:rsidRPr="00DF40E1" w:rsidRDefault="00E85721" w:rsidP="00750DAA">
      <w:pPr>
        <w:jc w:val="both"/>
        <w:rPr>
          <w:rFonts w:ascii="Bookman Old Style" w:hAnsi="Bookman Old Style"/>
          <w:sz w:val="26"/>
          <w:szCs w:val="26"/>
        </w:rPr>
      </w:pPr>
      <w:r w:rsidRPr="00DF40E1">
        <w:rPr>
          <w:rFonts w:ascii="Bookman Old Style" w:hAnsi="Bookman Old Style"/>
          <w:sz w:val="26"/>
          <w:szCs w:val="26"/>
        </w:rPr>
        <w:lastRenderedPageBreak/>
        <w:t>The instruction’s definitions of “gro</w:t>
      </w:r>
      <w:r w:rsidR="00FD2076" w:rsidRPr="00DF40E1">
        <w:rPr>
          <w:rFonts w:ascii="Bookman Old Style" w:hAnsi="Bookman Old Style"/>
          <w:sz w:val="26"/>
          <w:szCs w:val="26"/>
        </w:rPr>
        <w:t>ss negligence” and “reckless misconduct</w:t>
      </w:r>
      <w:r w:rsidRPr="00DF40E1">
        <w:rPr>
          <w:rFonts w:ascii="Bookman Old Style" w:hAnsi="Bookman Old Style"/>
          <w:sz w:val="26"/>
          <w:szCs w:val="26"/>
        </w:rPr>
        <w:t xml:space="preserve">” are derived from </w:t>
      </w:r>
      <w:r w:rsidRPr="00DF40E1">
        <w:rPr>
          <w:rFonts w:ascii="Bookman Old Style" w:hAnsi="Bookman Old Style"/>
          <w:i/>
          <w:iCs/>
          <w:sz w:val="26"/>
          <w:szCs w:val="26"/>
        </w:rPr>
        <w:t>Storrs v. Lutheran Hos</w:t>
      </w:r>
      <w:r w:rsidR="00926521" w:rsidRPr="00DF40E1">
        <w:rPr>
          <w:rFonts w:ascii="Bookman Old Style" w:hAnsi="Bookman Old Style"/>
          <w:i/>
          <w:iCs/>
          <w:sz w:val="26"/>
          <w:szCs w:val="26"/>
        </w:rPr>
        <w:t>pital &amp; Homes Society</w:t>
      </w:r>
      <w:r w:rsidRPr="00DF40E1">
        <w:rPr>
          <w:rFonts w:ascii="Bookman Old Style" w:hAnsi="Bookman Old Style"/>
          <w:i/>
          <w:iCs/>
          <w:sz w:val="26"/>
          <w:szCs w:val="26"/>
        </w:rPr>
        <w:t>, Inc.</w:t>
      </w:r>
      <w:r w:rsidRPr="00DF40E1">
        <w:rPr>
          <w:rFonts w:ascii="Bookman Old Style" w:hAnsi="Bookman Old Style"/>
          <w:sz w:val="26"/>
          <w:szCs w:val="26"/>
        </w:rPr>
        <w:t xml:space="preserve">, 661 P.2d 632, 634 </w:t>
      </w:r>
      <w:r w:rsidR="00FD2076" w:rsidRPr="00DF40E1">
        <w:rPr>
          <w:rFonts w:ascii="Bookman Old Style" w:hAnsi="Bookman Old Style"/>
          <w:sz w:val="26"/>
          <w:szCs w:val="26"/>
        </w:rPr>
        <w:t>&amp; n.</w:t>
      </w:r>
      <w:r w:rsidR="00750DAA" w:rsidRPr="00DF40E1">
        <w:rPr>
          <w:rFonts w:ascii="Bookman Old Style" w:hAnsi="Bookman Old Style"/>
          <w:sz w:val="26"/>
          <w:szCs w:val="26"/>
        </w:rPr>
        <w:t>1 (</w:t>
      </w:r>
      <w:smartTag w:uri="urn:schemas-microsoft-com:office:smarttags" w:element="State">
        <w:smartTag w:uri="urn:schemas-microsoft-com:office:smarttags" w:element="place">
          <w:r w:rsidR="00750DAA" w:rsidRPr="00DF40E1">
            <w:rPr>
              <w:rFonts w:ascii="Bookman Old Style" w:hAnsi="Bookman Old Style"/>
              <w:sz w:val="26"/>
              <w:szCs w:val="26"/>
            </w:rPr>
            <w:t>Alaska</w:t>
          </w:r>
        </w:smartTag>
      </w:smartTag>
      <w:r w:rsidR="00750DAA" w:rsidRPr="00DF40E1">
        <w:rPr>
          <w:rFonts w:ascii="Bookman Old Style" w:hAnsi="Bookman Old Style"/>
          <w:sz w:val="26"/>
          <w:szCs w:val="26"/>
        </w:rPr>
        <w:t xml:space="preserve"> 1983)</w:t>
      </w:r>
      <w:r w:rsidRPr="00DF40E1">
        <w:rPr>
          <w:rFonts w:ascii="Bookman Old Style" w:hAnsi="Bookman Old Style"/>
          <w:sz w:val="26"/>
          <w:szCs w:val="26"/>
        </w:rPr>
        <w:t>.</w:t>
      </w:r>
      <w:r w:rsidR="00750DAA" w:rsidRPr="00DF40E1">
        <w:rPr>
          <w:rFonts w:ascii="Bookman Old Style" w:hAnsi="Bookman Old Style"/>
          <w:sz w:val="26"/>
          <w:szCs w:val="26"/>
        </w:rPr>
        <w:t xml:space="preserve"> </w:t>
      </w:r>
    </w:p>
    <w:p w:rsidR="0099779D" w:rsidRPr="00DF40E1" w:rsidRDefault="0099779D" w:rsidP="00750DAA">
      <w:pPr>
        <w:jc w:val="both"/>
        <w:rPr>
          <w:rFonts w:ascii="Bookman Old Style" w:hAnsi="Bookman Old Style"/>
          <w:sz w:val="26"/>
          <w:szCs w:val="26"/>
        </w:rPr>
      </w:pPr>
    </w:p>
    <w:sectPr w:rsidR="0099779D" w:rsidRPr="00DF40E1" w:rsidSect="009A76C7">
      <w:footerReference w:type="default" r:id="rId7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1745">
      <w:r>
        <w:separator/>
      </w:r>
    </w:p>
  </w:endnote>
  <w:endnote w:type="continuationSeparator" w:id="0">
    <w:p w:rsidR="00000000" w:rsidRDefault="0081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7F3" w:rsidRPr="009A76C7" w:rsidRDefault="000A2C20" w:rsidP="00E31EE2">
    <w:pPr>
      <w:pStyle w:val="Footer"/>
      <w:tabs>
        <w:tab w:val="clear" w:pos="8640"/>
        <w:tab w:val="right" w:pos="9360"/>
      </w:tabs>
      <w:rPr>
        <w:rFonts w:ascii="Bookman Old Style" w:hAnsi="Bookman Old Style"/>
      </w:rPr>
    </w:pPr>
    <w:r>
      <w:rPr>
        <w:rFonts w:ascii="Bookman Old Style" w:hAnsi="Bookman Old Style"/>
      </w:rPr>
      <w:t>2008</w:t>
    </w:r>
    <w:r w:rsidR="00C207F3" w:rsidRPr="009A76C7">
      <w:rPr>
        <w:rFonts w:ascii="Bookman Old Style" w:hAnsi="Bookman Old Style"/>
      </w:rPr>
      <w:tab/>
    </w:r>
    <w:r w:rsidR="00C207F3" w:rsidRPr="009A76C7">
      <w:rPr>
        <w:rFonts w:ascii="Bookman Old Style" w:hAnsi="Bookman Old Style"/>
      </w:rPr>
      <w:tab/>
      <w:t>03.11</w:t>
    </w:r>
    <w:r w:rsidR="00C207F3">
      <w:rPr>
        <w:rFonts w:ascii="Bookman Old Style" w:hAnsi="Bookman Old Style"/>
      </w:rPr>
      <w:t xml:space="preserve"> </w:t>
    </w:r>
    <w:r w:rsidR="00C207F3" w:rsidRPr="009A76C7">
      <w:rPr>
        <w:rFonts w:ascii="Bookman Old Style" w:hAnsi="Bookman Old Style"/>
      </w:rPr>
      <w:t>-</w:t>
    </w:r>
    <w:r w:rsidR="00C207F3">
      <w:rPr>
        <w:rFonts w:ascii="Bookman Old Style" w:hAnsi="Bookman Old Style"/>
      </w:rPr>
      <w:t xml:space="preserve"> </w:t>
    </w:r>
    <w:r w:rsidR="00C207F3" w:rsidRPr="009A76C7">
      <w:rPr>
        <w:rStyle w:val="PageNumber"/>
        <w:rFonts w:ascii="Bookman Old Style" w:hAnsi="Bookman Old Style"/>
      </w:rPr>
      <w:fldChar w:fldCharType="begin"/>
    </w:r>
    <w:r w:rsidR="00C207F3" w:rsidRPr="009A76C7">
      <w:rPr>
        <w:rStyle w:val="PageNumber"/>
        <w:rFonts w:ascii="Bookman Old Style" w:hAnsi="Bookman Old Style"/>
      </w:rPr>
      <w:instrText xml:space="preserve"> PAGE </w:instrText>
    </w:r>
    <w:r w:rsidR="00C207F3" w:rsidRPr="009A76C7">
      <w:rPr>
        <w:rStyle w:val="PageNumber"/>
        <w:rFonts w:ascii="Bookman Old Style" w:hAnsi="Bookman Old Style"/>
      </w:rPr>
      <w:fldChar w:fldCharType="separate"/>
    </w:r>
    <w:r w:rsidR="000B7468">
      <w:rPr>
        <w:rStyle w:val="PageNumber"/>
        <w:rFonts w:ascii="Bookman Old Style" w:hAnsi="Bookman Old Style"/>
        <w:noProof/>
      </w:rPr>
      <w:t>1</w:t>
    </w:r>
    <w:r w:rsidR="00C207F3" w:rsidRPr="009A76C7">
      <w:rPr>
        <w:rStyle w:val="PageNumber"/>
        <w:rFonts w:ascii="Bookman Old Style" w:hAnsi="Bookman Old Sty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1745">
      <w:r>
        <w:separator/>
      </w:r>
    </w:p>
  </w:footnote>
  <w:footnote w:type="continuationSeparator" w:id="0">
    <w:p w:rsidR="00000000" w:rsidRDefault="00811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D5"/>
    <w:rsid w:val="000360AD"/>
    <w:rsid w:val="0004161B"/>
    <w:rsid w:val="00042537"/>
    <w:rsid w:val="00042B97"/>
    <w:rsid w:val="00062908"/>
    <w:rsid w:val="000A2C20"/>
    <w:rsid w:val="000B58E2"/>
    <w:rsid w:val="000B7468"/>
    <w:rsid w:val="000B7DEF"/>
    <w:rsid w:val="000D3807"/>
    <w:rsid w:val="000E3AF4"/>
    <w:rsid w:val="000F2334"/>
    <w:rsid w:val="0014331D"/>
    <w:rsid w:val="0015129B"/>
    <w:rsid w:val="001A3D3F"/>
    <w:rsid w:val="001D0D0B"/>
    <w:rsid w:val="00202B3D"/>
    <w:rsid w:val="0022109E"/>
    <w:rsid w:val="0023398F"/>
    <w:rsid w:val="00244656"/>
    <w:rsid w:val="00264E38"/>
    <w:rsid w:val="00275C57"/>
    <w:rsid w:val="002A12A6"/>
    <w:rsid w:val="002A33D3"/>
    <w:rsid w:val="002B213F"/>
    <w:rsid w:val="002C213B"/>
    <w:rsid w:val="002D671F"/>
    <w:rsid w:val="002E2C13"/>
    <w:rsid w:val="002F33FA"/>
    <w:rsid w:val="002F6059"/>
    <w:rsid w:val="002F6DBB"/>
    <w:rsid w:val="00300A70"/>
    <w:rsid w:val="0032716A"/>
    <w:rsid w:val="003506D5"/>
    <w:rsid w:val="0036171F"/>
    <w:rsid w:val="003746A1"/>
    <w:rsid w:val="00385580"/>
    <w:rsid w:val="003A67E1"/>
    <w:rsid w:val="003E0836"/>
    <w:rsid w:val="00431BDA"/>
    <w:rsid w:val="0044013B"/>
    <w:rsid w:val="00456F51"/>
    <w:rsid w:val="004638F7"/>
    <w:rsid w:val="0046638D"/>
    <w:rsid w:val="00473B9C"/>
    <w:rsid w:val="004902F7"/>
    <w:rsid w:val="004A0EC6"/>
    <w:rsid w:val="004A79D1"/>
    <w:rsid w:val="004A7EDB"/>
    <w:rsid w:val="004D03D0"/>
    <w:rsid w:val="004E39F7"/>
    <w:rsid w:val="004E3D7C"/>
    <w:rsid w:val="004E3F5B"/>
    <w:rsid w:val="004F5653"/>
    <w:rsid w:val="005316DA"/>
    <w:rsid w:val="005718FE"/>
    <w:rsid w:val="005A687E"/>
    <w:rsid w:val="005D4386"/>
    <w:rsid w:val="005F216C"/>
    <w:rsid w:val="006031AA"/>
    <w:rsid w:val="00611C4E"/>
    <w:rsid w:val="0062113B"/>
    <w:rsid w:val="006247A7"/>
    <w:rsid w:val="00664375"/>
    <w:rsid w:val="0068629E"/>
    <w:rsid w:val="006B3019"/>
    <w:rsid w:val="007028F3"/>
    <w:rsid w:val="007426C9"/>
    <w:rsid w:val="00750DAA"/>
    <w:rsid w:val="007A4996"/>
    <w:rsid w:val="007B174D"/>
    <w:rsid w:val="007C4F16"/>
    <w:rsid w:val="007C59DC"/>
    <w:rsid w:val="007D31BE"/>
    <w:rsid w:val="007D589C"/>
    <w:rsid w:val="007E3DE0"/>
    <w:rsid w:val="007F0E1F"/>
    <w:rsid w:val="0080238F"/>
    <w:rsid w:val="008045BC"/>
    <w:rsid w:val="0081060F"/>
    <w:rsid w:val="00811745"/>
    <w:rsid w:val="008250BA"/>
    <w:rsid w:val="008324DE"/>
    <w:rsid w:val="008348B0"/>
    <w:rsid w:val="008433E6"/>
    <w:rsid w:val="00851282"/>
    <w:rsid w:val="00855FED"/>
    <w:rsid w:val="00875EB0"/>
    <w:rsid w:val="00883EE8"/>
    <w:rsid w:val="0088472B"/>
    <w:rsid w:val="008B3262"/>
    <w:rsid w:val="008B7C8C"/>
    <w:rsid w:val="00922D85"/>
    <w:rsid w:val="00926137"/>
    <w:rsid w:val="00926521"/>
    <w:rsid w:val="00936B89"/>
    <w:rsid w:val="009414A1"/>
    <w:rsid w:val="00941AD1"/>
    <w:rsid w:val="009561C8"/>
    <w:rsid w:val="009564C6"/>
    <w:rsid w:val="009639C6"/>
    <w:rsid w:val="009917B9"/>
    <w:rsid w:val="00996ED8"/>
    <w:rsid w:val="0099779D"/>
    <w:rsid w:val="009A76C7"/>
    <w:rsid w:val="009C6400"/>
    <w:rsid w:val="009D16FE"/>
    <w:rsid w:val="009D28AB"/>
    <w:rsid w:val="009E60C7"/>
    <w:rsid w:val="00A07948"/>
    <w:rsid w:val="00A6286F"/>
    <w:rsid w:val="00A64DC1"/>
    <w:rsid w:val="00A759F0"/>
    <w:rsid w:val="00A82A6E"/>
    <w:rsid w:val="00A85E75"/>
    <w:rsid w:val="00AB2705"/>
    <w:rsid w:val="00AC3C56"/>
    <w:rsid w:val="00AD05D5"/>
    <w:rsid w:val="00AD09A5"/>
    <w:rsid w:val="00AD7B73"/>
    <w:rsid w:val="00B320EF"/>
    <w:rsid w:val="00B41CAC"/>
    <w:rsid w:val="00B43069"/>
    <w:rsid w:val="00B47451"/>
    <w:rsid w:val="00B54DBE"/>
    <w:rsid w:val="00B64A70"/>
    <w:rsid w:val="00B8730C"/>
    <w:rsid w:val="00B87644"/>
    <w:rsid w:val="00BA5274"/>
    <w:rsid w:val="00BB1BE7"/>
    <w:rsid w:val="00BE249E"/>
    <w:rsid w:val="00BE60CB"/>
    <w:rsid w:val="00C03627"/>
    <w:rsid w:val="00C207F3"/>
    <w:rsid w:val="00C46057"/>
    <w:rsid w:val="00C875DA"/>
    <w:rsid w:val="00CB1442"/>
    <w:rsid w:val="00CC335B"/>
    <w:rsid w:val="00CE0C94"/>
    <w:rsid w:val="00D060F6"/>
    <w:rsid w:val="00D1185E"/>
    <w:rsid w:val="00D1525B"/>
    <w:rsid w:val="00D34FB9"/>
    <w:rsid w:val="00D3512A"/>
    <w:rsid w:val="00D36BF7"/>
    <w:rsid w:val="00D418D5"/>
    <w:rsid w:val="00D6410D"/>
    <w:rsid w:val="00D7206F"/>
    <w:rsid w:val="00DD768F"/>
    <w:rsid w:val="00DE6FD0"/>
    <w:rsid w:val="00DF15ED"/>
    <w:rsid w:val="00DF40E1"/>
    <w:rsid w:val="00E13EEE"/>
    <w:rsid w:val="00E23609"/>
    <w:rsid w:val="00E247A2"/>
    <w:rsid w:val="00E253AD"/>
    <w:rsid w:val="00E31EE2"/>
    <w:rsid w:val="00E5055B"/>
    <w:rsid w:val="00E5437B"/>
    <w:rsid w:val="00E85721"/>
    <w:rsid w:val="00E95062"/>
    <w:rsid w:val="00EA3FF6"/>
    <w:rsid w:val="00ED065B"/>
    <w:rsid w:val="00EE652E"/>
    <w:rsid w:val="00EF1564"/>
    <w:rsid w:val="00F00DB1"/>
    <w:rsid w:val="00F1306F"/>
    <w:rsid w:val="00F17615"/>
    <w:rsid w:val="00F41980"/>
    <w:rsid w:val="00F5388F"/>
    <w:rsid w:val="00F577DD"/>
    <w:rsid w:val="00F62B33"/>
    <w:rsid w:val="00F654C7"/>
    <w:rsid w:val="00F67D62"/>
    <w:rsid w:val="00F75907"/>
    <w:rsid w:val="00F954D2"/>
    <w:rsid w:val="00FA32C4"/>
    <w:rsid w:val="00FD2076"/>
    <w:rsid w:val="00F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50D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0D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7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50D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0D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Ingaldson, Maassen, Fitzgerald PC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Maassen</dc:creator>
  <cp:keywords/>
  <dc:description/>
  <cp:lastModifiedBy>Michael Merrington</cp:lastModifiedBy>
  <cp:revision>3</cp:revision>
  <cp:lastPrinted>2008-07-15T22:36:00Z</cp:lastPrinted>
  <dcterms:created xsi:type="dcterms:W3CDTF">2017-04-04T18:47:00Z</dcterms:created>
  <dcterms:modified xsi:type="dcterms:W3CDTF">2017-04-04T18:47:00Z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-1005585541</vt:i4>
  </property>
  <property fmtid="{D5CDD505-2E9C-101B-9397-08002B2CF9AE}" pid="3" name="_EmailSubject">
    <vt:lpwstr>Supplement 15</vt:lpwstr>
  </property>
  <property fmtid="{D5CDD505-2E9C-101B-9397-08002B2CF9AE}" pid="4" name="_AuthorEmail">
    <vt:lpwstr>jhoenack@courts.state.ak.us</vt:lpwstr>
  </property>
  <property fmtid="{D5CDD505-2E9C-101B-9397-08002B2CF9AE}" pid="5" name="_AuthorEmailDisplayName">
    <vt:lpwstr>Jennie Marshall-Hoenack</vt:lpwstr>
  </property>
  <property fmtid="{D5CDD505-2E9C-101B-9397-08002B2CF9AE}" pid="6" name="_ReviewingToolsShownOnce">
    <vt:lpwstr/>
  </property>
</Properties>
</file>