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EDD" w:rsidRDefault="001A51FF" w:rsidP="001A51FF">
      <w:pPr>
        <w:ind w:left="1440" w:hanging="1440"/>
        <w:outlineLvl w:val="0"/>
        <w:rPr>
          <w:b/>
          <w:sz w:val="28"/>
          <w:szCs w:val="28"/>
        </w:rPr>
      </w:pPr>
      <w:r w:rsidRPr="0029361F">
        <w:rPr>
          <w:b/>
          <w:sz w:val="28"/>
          <w:szCs w:val="28"/>
        </w:rPr>
        <w:t>3.15A</w:t>
      </w:r>
      <w:r w:rsidRPr="0029361F">
        <w:rPr>
          <w:b/>
          <w:sz w:val="28"/>
          <w:szCs w:val="28"/>
        </w:rPr>
        <w:tab/>
      </w:r>
      <w:bookmarkStart w:id="0" w:name="_GoBack"/>
      <w:r w:rsidR="006B0EDD" w:rsidRPr="0029361F">
        <w:rPr>
          <w:b/>
          <w:sz w:val="28"/>
          <w:szCs w:val="28"/>
        </w:rPr>
        <w:t>Negligent Infliction of Emotional Distress: Preexisting Duty</w:t>
      </w:r>
      <w:bookmarkEnd w:id="0"/>
    </w:p>
    <w:p w:rsidR="0029361F" w:rsidRPr="0029361F" w:rsidRDefault="0029361F" w:rsidP="001A51FF">
      <w:pPr>
        <w:ind w:left="1440" w:hanging="1440"/>
        <w:outlineLvl w:val="0"/>
        <w:rPr>
          <w:b/>
          <w:sz w:val="28"/>
          <w:szCs w:val="28"/>
        </w:rPr>
      </w:pPr>
    </w:p>
    <w:p w:rsidR="006B0EDD" w:rsidRPr="0029361F" w:rsidRDefault="006B0EDD" w:rsidP="006B0EDD">
      <w:pPr>
        <w:rPr>
          <w:sz w:val="28"/>
          <w:szCs w:val="28"/>
        </w:rPr>
      </w:pPr>
    </w:p>
    <w:p w:rsidR="006B0EDD" w:rsidRPr="0029361F" w:rsidRDefault="006B0EDD" w:rsidP="00C70D69">
      <w:pPr>
        <w:spacing w:line="360" w:lineRule="auto"/>
        <w:jc w:val="both"/>
        <w:rPr>
          <w:snapToGrid w:val="0"/>
          <w:sz w:val="28"/>
          <w:szCs w:val="28"/>
        </w:rPr>
      </w:pPr>
      <w:r w:rsidRPr="0029361F">
        <w:rPr>
          <w:sz w:val="28"/>
          <w:szCs w:val="28"/>
        </w:rPr>
        <w:t>[Plaintiff] claims that [s/he] suffered severe emotional distress as a result of [defendant]</w:t>
      </w:r>
      <w:r w:rsidR="007C2370" w:rsidRPr="0029361F">
        <w:rPr>
          <w:sz w:val="28"/>
          <w:szCs w:val="28"/>
        </w:rPr>
        <w:t>’s</w:t>
      </w:r>
      <w:r w:rsidRPr="0029361F">
        <w:rPr>
          <w:sz w:val="28"/>
          <w:szCs w:val="28"/>
        </w:rPr>
        <w:t xml:space="preserve"> negligence when [describe event/incident]. </w:t>
      </w:r>
      <w:r w:rsidRPr="0029361F">
        <w:rPr>
          <w:snapToGrid w:val="0"/>
          <w:sz w:val="28"/>
          <w:szCs w:val="28"/>
        </w:rPr>
        <w:t>In order to find in favor of [</w:t>
      </w:r>
      <w:r w:rsidR="007C2370" w:rsidRPr="0029361F">
        <w:rPr>
          <w:snapToGrid w:val="0"/>
          <w:sz w:val="28"/>
          <w:szCs w:val="28"/>
        </w:rPr>
        <w:t>p</w:t>
      </w:r>
      <w:r w:rsidRPr="0029361F">
        <w:rPr>
          <w:snapToGrid w:val="0"/>
          <w:sz w:val="28"/>
          <w:szCs w:val="28"/>
        </w:rPr>
        <w:t>laintiff] on this claim, you must find that it is more likely true than not true that:</w:t>
      </w:r>
    </w:p>
    <w:p w:rsidR="006B0EDD" w:rsidRPr="0029361F" w:rsidRDefault="006B0EDD" w:rsidP="00C70D69">
      <w:pPr>
        <w:spacing w:line="360" w:lineRule="auto"/>
        <w:jc w:val="both"/>
        <w:rPr>
          <w:sz w:val="28"/>
          <w:szCs w:val="28"/>
        </w:rPr>
      </w:pPr>
    </w:p>
    <w:p w:rsidR="006B0EDD" w:rsidRPr="0029361F" w:rsidRDefault="006B0EDD" w:rsidP="00C70D69">
      <w:pPr>
        <w:numPr>
          <w:ilvl w:val="0"/>
          <w:numId w:val="1"/>
        </w:numPr>
        <w:spacing w:line="360" w:lineRule="auto"/>
        <w:ind w:hanging="720"/>
        <w:jc w:val="both"/>
        <w:rPr>
          <w:sz w:val="28"/>
          <w:szCs w:val="28"/>
        </w:rPr>
      </w:pPr>
      <w:r w:rsidRPr="0029361F">
        <w:rPr>
          <w:sz w:val="28"/>
          <w:szCs w:val="28"/>
        </w:rPr>
        <w:t>[</w:t>
      </w:r>
      <w:r w:rsidR="00E35471" w:rsidRPr="0029361F">
        <w:rPr>
          <w:sz w:val="28"/>
          <w:szCs w:val="28"/>
        </w:rPr>
        <w:t>D</w:t>
      </w:r>
      <w:r w:rsidRPr="0029361F">
        <w:rPr>
          <w:sz w:val="28"/>
          <w:szCs w:val="28"/>
        </w:rPr>
        <w:t>efendant] negligently breached his/her duty to [</w:t>
      </w:r>
      <w:r w:rsidR="007C2370" w:rsidRPr="0029361F">
        <w:rPr>
          <w:sz w:val="28"/>
          <w:szCs w:val="28"/>
        </w:rPr>
        <w:t>p</w:t>
      </w:r>
      <w:r w:rsidRPr="0029361F">
        <w:rPr>
          <w:sz w:val="28"/>
          <w:szCs w:val="28"/>
        </w:rPr>
        <w:t xml:space="preserve">laintiff] to [describe duty]; and </w:t>
      </w:r>
    </w:p>
    <w:p w:rsidR="006B0EDD" w:rsidRPr="0029361F" w:rsidRDefault="006B0EDD" w:rsidP="00C70D69">
      <w:pPr>
        <w:numPr>
          <w:ilvl w:val="0"/>
          <w:numId w:val="1"/>
        </w:numPr>
        <w:spacing w:line="360" w:lineRule="auto"/>
        <w:ind w:hanging="720"/>
        <w:jc w:val="both"/>
        <w:rPr>
          <w:sz w:val="28"/>
          <w:szCs w:val="28"/>
        </w:rPr>
      </w:pPr>
      <w:r w:rsidRPr="0029361F">
        <w:rPr>
          <w:sz w:val="28"/>
          <w:szCs w:val="28"/>
        </w:rPr>
        <w:t>[</w:t>
      </w:r>
      <w:r w:rsidR="00E35471" w:rsidRPr="0029361F">
        <w:rPr>
          <w:sz w:val="28"/>
          <w:szCs w:val="28"/>
        </w:rPr>
        <w:t>D</w:t>
      </w:r>
      <w:r w:rsidRPr="0029361F">
        <w:rPr>
          <w:sz w:val="28"/>
          <w:szCs w:val="28"/>
        </w:rPr>
        <w:t>efendant]’s negligence caused [plaintiff] to experience severe emotional distress.</w:t>
      </w:r>
    </w:p>
    <w:p w:rsidR="006B0EDD" w:rsidRPr="0029361F" w:rsidRDefault="006B0EDD" w:rsidP="00C70D69">
      <w:pPr>
        <w:spacing w:line="360" w:lineRule="auto"/>
        <w:jc w:val="both"/>
        <w:rPr>
          <w:sz w:val="28"/>
          <w:szCs w:val="28"/>
        </w:rPr>
      </w:pPr>
    </w:p>
    <w:p w:rsidR="006B0EDD" w:rsidRPr="0029361F" w:rsidRDefault="006B0EDD" w:rsidP="00C70D69">
      <w:pPr>
        <w:spacing w:line="360" w:lineRule="auto"/>
        <w:jc w:val="both"/>
        <w:rPr>
          <w:sz w:val="28"/>
          <w:szCs w:val="28"/>
        </w:rPr>
      </w:pPr>
      <w:r w:rsidRPr="0029361F">
        <w:rPr>
          <w:sz w:val="28"/>
          <w:szCs w:val="28"/>
        </w:rPr>
        <w:t>You must find both of these elements present to compensate [plaintiff] for negligent infliction of emotional distress.</w:t>
      </w:r>
    </w:p>
    <w:p w:rsidR="006B0EDD" w:rsidRPr="0029361F" w:rsidRDefault="006B0EDD" w:rsidP="00C70D69">
      <w:pPr>
        <w:spacing w:line="360" w:lineRule="auto"/>
        <w:jc w:val="both"/>
        <w:rPr>
          <w:sz w:val="28"/>
          <w:szCs w:val="28"/>
        </w:rPr>
      </w:pPr>
    </w:p>
    <w:p w:rsidR="007C2370" w:rsidRPr="0029361F" w:rsidRDefault="006B0EDD" w:rsidP="00C70D69">
      <w:pPr>
        <w:widowControl w:val="0"/>
        <w:autoSpaceDE w:val="0"/>
        <w:autoSpaceDN w:val="0"/>
        <w:adjustRightInd w:val="0"/>
        <w:spacing w:line="360" w:lineRule="auto"/>
        <w:jc w:val="both"/>
        <w:rPr>
          <w:sz w:val="28"/>
          <w:szCs w:val="28"/>
        </w:rPr>
      </w:pPr>
      <w:r w:rsidRPr="0029361F">
        <w:rPr>
          <w:sz w:val="28"/>
          <w:szCs w:val="28"/>
        </w:rPr>
        <w:t>Severe emotional distress is distress that is so substantial or enduring that no reasonable person should be expected to endure i</w:t>
      </w:r>
      <w:r w:rsidR="00C70D69" w:rsidRPr="0029361F">
        <w:rPr>
          <w:sz w:val="28"/>
          <w:szCs w:val="28"/>
        </w:rPr>
        <w:t xml:space="preserve">t. </w:t>
      </w:r>
      <w:r w:rsidRPr="0029361F">
        <w:rPr>
          <w:sz w:val="28"/>
          <w:szCs w:val="28"/>
        </w:rPr>
        <w:t>Severe emotional distress exists when a reasonable person would be unable to adequately cope with the mental stres</w:t>
      </w:r>
      <w:r w:rsidR="00C70D69" w:rsidRPr="0029361F">
        <w:rPr>
          <w:sz w:val="28"/>
          <w:szCs w:val="28"/>
        </w:rPr>
        <w:t xml:space="preserve">s caused by the circumstances. </w:t>
      </w:r>
      <w:r w:rsidRPr="0029361F">
        <w:rPr>
          <w:sz w:val="28"/>
          <w:szCs w:val="28"/>
        </w:rPr>
        <w:t xml:space="preserve">Examples include neuroses, </w:t>
      </w:r>
      <w:hyperlink r:id="rId9" w:history="1">
        <w:r w:rsidRPr="0029361F">
          <w:rPr>
            <w:sz w:val="28"/>
            <w:szCs w:val="28"/>
          </w:rPr>
          <w:t>psychoses</w:t>
        </w:r>
      </w:hyperlink>
      <w:r w:rsidRPr="0029361F">
        <w:rPr>
          <w:sz w:val="28"/>
          <w:szCs w:val="28"/>
        </w:rPr>
        <w:t>, chronic depression, phobia, post-traumat</w:t>
      </w:r>
      <w:r w:rsidR="00C70D69" w:rsidRPr="0029361F">
        <w:rPr>
          <w:sz w:val="28"/>
          <w:szCs w:val="28"/>
        </w:rPr>
        <w:t xml:space="preserve">ic stress disorder, and shock. </w:t>
      </w:r>
      <w:r w:rsidRPr="0029361F">
        <w:rPr>
          <w:sz w:val="28"/>
          <w:szCs w:val="28"/>
        </w:rPr>
        <w:t>But temporary fright, disappointment, or regret do not qualify as severe emotional distress.</w:t>
      </w:r>
    </w:p>
    <w:p w:rsidR="006B0EDD" w:rsidRPr="0029361F" w:rsidRDefault="006B0EDD" w:rsidP="00D42F65">
      <w:pPr>
        <w:widowControl w:val="0"/>
        <w:autoSpaceDE w:val="0"/>
        <w:autoSpaceDN w:val="0"/>
        <w:adjustRightInd w:val="0"/>
        <w:rPr>
          <w:sz w:val="28"/>
          <w:szCs w:val="28"/>
        </w:rPr>
      </w:pPr>
    </w:p>
    <w:p w:rsidR="00C70D69" w:rsidRPr="0029361F" w:rsidRDefault="006B0EDD" w:rsidP="006B0EDD">
      <w:pPr>
        <w:jc w:val="center"/>
        <w:outlineLvl w:val="0"/>
        <w:rPr>
          <w:b/>
          <w:sz w:val="28"/>
          <w:szCs w:val="28"/>
          <w:u w:val="single"/>
        </w:rPr>
      </w:pPr>
      <w:r w:rsidRPr="0029361F">
        <w:rPr>
          <w:b/>
          <w:sz w:val="28"/>
          <w:szCs w:val="28"/>
          <w:u w:val="single"/>
        </w:rPr>
        <w:t xml:space="preserve">Use </w:t>
      </w:r>
      <w:r w:rsidR="00C70D69" w:rsidRPr="0029361F">
        <w:rPr>
          <w:b/>
          <w:sz w:val="28"/>
          <w:szCs w:val="28"/>
          <w:u w:val="single"/>
        </w:rPr>
        <w:t>N</w:t>
      </w:r>
      <w:r w:rsidRPr="0029361F">
        <w:rPr>
          <w:b/>
          <w:sz w:val="28"/>
          <w:szCs w:val="28"/>
          <w:u w:val="single"/>
        </w:rPr>
        <w:t>ote</w:t>
      </w:r>
    </w:p>
    <w:p w:rsidR="006B0EDD" w:rsidRPr="0029361F" w:rsidRDefault="006B0EDD" w:rsidP="006B0EDD">
      <w:pPr>
        <w:jc w:val="center"/>
        <w:outlineLvl w:val="0"/>
        <w:rPr>
          <w:b/>
          <w:sz w:val="28"/>
          <w:szCs w:val="28"/>
          <w:u w:val="single"/>
        </w:rPr>
      </w:pPr>
    </w:p>
    <w:p w:rsidR="006B0EDD" w:rsidRPr="0029361F" w:rsidRDefault="006B0EDD" w:rsidP="00C70D69">
      <w:pPr>
        <w:jc w:val="both"/>
        <w:rPr>
          <w:sz w:val="28"/>
          <w:szCs w:val="28"/>
        </w:rPr>
      </w:pPr>
      <w:r w:rsidRPr="0029361F">
        <w:rPr>
          <w:sz w:val="28"/>
          <w:szCs w:val="28"/>
        </w:rPr>
        <w:t>Use this instruction in a negligence case where the only damages soug</w:t>
      </w:r>
      <w:r w:rsidR="00A02D01" w:rsidRPr="0029361F">
        <w:rPr>
          <w:sz w:val="28"/>
          <w:szCs w:val="28"/>
        </w:rPr>
        <w:t xml:space="preserve">ht are for emotional distress. </w:t>
      </w:r>
      <w:r w:rsidRPr="0029361F">
        <w:rPr>
          <w:sz w:val="28"/>
          <w:szCs w:val="28"/>
        </w:rPr>
        <w:t>A claim for negligent infliction of emotional distress allows a plaintiff to recover for severe emotional distress even in t</w:t>
      </w:r>
      <w:r w:rsidR="00A02D01" w:rsidRPr="0029361F">
        <w:rPr>
          <w:sz w:val="28"/>
          <w:szCs w:val="28"/>
        </w:rPr>
        <w:t xml:space="preserve">he absence of physical injury. </w:t>
      </w:r>
      <w:r w:rsidRPr="0029361F">
        <w:rPr>
          <w:sz w:val="28"/>
          <w:szCs w:val="28"/>
        </w:rPr>
        <w:t>The Alaska Supreme Court has recognized two subtypes of this cause of action: b</w:t>
      </w:r>
      <w:r w:rsidR="00A02D01" w:rsidRPr="0029361F">
        <w:rPr>
          <w:sz w:val="28"/>
          <w:szCs w:val="28"/>
        </w:rPr>
        <w:t xml:space="preserve">ystander and preexisting duty. </w:t>
      </w:r>
      <w:r w:rsidRPr="0029361F">
        <w:rPr>
          <w:sz w:val="28"/>
          <w:szCs w:val="28"/>
        </w:rPr>
        <w:t xml:space="preserve">This instruction is for use in a preexisting </w:t>
      </w:r>
      <w:proofErr w:type="gramStart"/>
      <w:r w:rsidRPr="0029361F">
        <w:rPr>
          <w:sz w:val="28"/>
          <w:szCs w:val="28"/>
        </w:rPr>
        <w:lastRenderedPageBreak/>
        <w:t>duty</w:t>
      </w:r>
      <w:proofErr w:type="gramEnd"/>
      <w:r w:rsidRPr="0029361F">
        <w:rPr>
          <w:sz w:val="28"/>
          <w:szCs w:val="28"/>
        </w:rPr>
        <w:t xml:space="preserve"> case.</w:t>
      </w:r>
      <w:r w:rsidR="001E4776" w:rsidRPr="0029361F">
        <w:rPr>
          <w:sz w:val="28"/>
          <w:szCs w:val="28"/>
        </w:rPr>
        <w:t xml:space="preserve"> </w:t>
      </w:r>
      <w:r w:rsidRPr="0029361F">
        <w:rPr>
          <w:sz w:val="28"/>
          <w:szCs w:val="28"/>
        </w:rPr>
        <w:t xml:space="preserve">Where defendant and plaintiff have no preexisting relationship and the NIED claim is instead based upon plaintiff being a bystander to an accident, instruction </w:t>
      </w:r>
      <w:r w:rsidR="00EC7184" w:rsidRPr="0029361F">
        <w:rPr>
          <w:sz w:val="28"/>
          <w:szCs w:val="28"/>
        </w:rPr>
        <w:t>3.15</w:t>
      </w:r>
      <w:r w:rsidR="006838B9" w:rsidRPr="0029361F">
        <w:rPr>
          <w:sz w:val="28"/>
          <w:szCs w:val="28"/>
        </w:rPr>
        <w:t>B</w:t>
      </w:r>
      <w:r w:rsidRPr="0029361F">
        <w:rPr>
          <w:sz w:val="28"/>
          <w:szCs w:val="28"/>
        </w:rPr>
        <w:t xml:space="preserve"> (Negligent Infliction of Emotional Distress: Bystander) should be given. Appropriate negligence instructions also should be given; these will include 3.03A/B (Negligence Defined) and 3.07 (Substantial Factor), as well as others that may be relevant based on the particulars of the case.</w:t>
      </w:r>
    </w:p>
    <w:p w:rsidR="006B0EDD" w:rsidRPr="0029361F" w:rsidRDefault="006B0EDD" w:rsidP="006B0EDD">
      <w:pPr>
        <w:rPr>
          <w:sz w:val="28"/>
          <w:szCs w:val="28"/>
        </w:rPr>
      </w:pPr>
    </w:p>
    <w:p w:rsidR="006B0EDD" w:rsidRPr="0029361F" w:rsidRDefault="006B0EDD" w:rsidP="006B0EDD">
      <w:pPr>
        <w:jc w:val="center"/>
        <w:outlineLvl w:val="0"/>
        <w:rPr>
          <w:rStyle w:val="cohl"/>
          <w:sz w:val="28"/>
          <w:szCs w:val="28"/>
        </w:rPr>
      </w:pPr>
      <w:r w:rsidRPr="0029361F">
        <w:rPr>
          <w:rStyle w:val="cohl"/>
          <w:b/>
          <w:color w:val="212121"/>
          <w:sz w:val="28"/>
          <w:szCs w:val="28"/>
          <w:u w:val="single"/>
        </w:rPr>
        <w:t>Comment</w:t>
      </w:r>
    </w:p>
    <w:p w:rsidR="006B0EDD" w:rsidRPr="0029361F" w:rsidRDefault="006B0EDD" w:rsidP="006B0EDD">
      <w:pPr>
        <w:rPr>
          <w:sz w:val="28"/>
          <w:szCs w:val="28"/>
        </w:rPr>
      </w:pPr>
    </w:p>
    <w:p w:rsidR="006B0EDD" w:rsidRPr="0029361F" w:rsidRDefault="006B0EDD" w:rsidP="00C70D69">
      <w:pPr>
        <w:widowControl w:val="0"/>
        <w:autoSpaceDE w:val="0"/>
        <w:autoSpaceDN w:val="0"/>
        <w:adjustRightInd w:val="0"/>
        <w:jc w:val="both"/>
        <w:rPr>
          <w:sz w:val="28"/>
          <w:szCs w:val="28"/>
        </w:rPr>
      </w:pPr>
      <w:r w:rsidRPr="0029361F">
        <w:rPr>
          <w:sz w:val="28"/>
          <w:szCs w:val="28"/>
        </w:rPr>
        <w:t xml:space="preserve">Not all preexisting duties are sufficient to enable a NIED claim to proceed. “A defendant must stand in either a fiduciary or contractual relationship with the plaintiff in order to create such a preexisting duty.” </w:t>
      </w:r>
      <w:proofErr w:type="spellStart"/>
      <w:proofErr w:type="gramStart"/>
      <w:r w:rsidRPr="0029361F">
        <w:rPr>
          <w:i/>
          <w:sz w:val="28"/>
          <w:szCs w:val="28"/>
        </w:rPr>
        <w:t>Kallstrom</w:t>
      </w:r>
      <w:proofErr w:type="spellEnd"/>
      <w:r w:rsidRPr="0029361F">
        <w:rPr>
          <w:i/>
          <w:sz w:val="28"/>
          <w:szCs w:val="28"/>
        </w:rPr>
        <w:t xml:space="preserve"> v. United States</w:t>
      </w:r>
      <w:r w:rsidRPr="0029361F">
        <w:rPr>
          <w:sz w:val="28"/>
          <w:szCs w:val="28"/>
        </w:rPr>
        <w:t>, 43 P.3d 162, 166 (Alaska 2002).</w:t>
      </w:r>
      <w:proofErr w:type="gramEnd"/>
      <w:r w:rsidRPr="0029361F">
        <w:rPr>
          <w:sz w:val="28"/>
          <w:szCs w:val="28"/>
        </w:rPr>
        <w:t xml:space="preserve"> A generalized duty of care to the public at large is not sufficient. </w:t>
      </w:r>
      <w:r w:rsidRPr="0029361F">
        <w:rPr>
          <w:i/>
          <w:sz w:val="28"/>
          <w:szCs w:val="28"/>
        </w:rPr>
        <w:t xml:space="preserve">Id. </w:t>
      </w:r>
      <w:r w:rsidRPr="0029361F">
        <w:rPr>
          <w:sz w:val="28"/>
          <w:szCs w:val="28"/>
        </w:rPr>
        <w:t>In addition, a breached contractual duty must be “highly personal and laden with emotion” such that it is “particularly likely to result in serious emoti</w:t>
      </w:r>
      <w:r w:rsidR="00C70D69" w:rsidRPr="0029361F">
        <w:rPr>
          <w:sz w:val="28"/>
          <w:szCs w:val="28"/>
        </w:rPr>
        <w:t xml:space="preserve">onal disturbance” if breached. </w:t>
      </w:r>
      <w:proofErr w:type="gramStart"/>
      <w:r w:rsidRPr="0029361F">
        <w:rPr>
          <w:i/>
          <w:sz w:val="28"/>
          <w:szCs w:val="28"/>
        </w:rPr>
        <w:t>Hancock v. Northcutt</w:t>
      </w:r>
      <w:r w:rsidRPr="0029361F">
        <w:rPr>
          <w:sz w:val="28"/>
          <w:szCs w:val="28"/>
        </w:rPr>
        <w:t>, 808 P.2d 251, 258-59 (Alaska 1991).</w:t>
      </w:r>
      <w:proofErr w:type="gramEnd"/>
      <w:r w:rsidRPr="0029361F">
        <w:rPr>
          <w:sz w:val="28"/>
          <w:szCs w:val="28"/>
        </w:rPr>
        <w:t xml:space="preserve"> In </w:t>
      </w:r>
      <w:r w:rsidRPr="0029361F">
        <w:rPr>
          <w:i/>
          <w:sz w:val="28"/>
          <w:szCs w:val="28"/>
        </w:rPr>
        <w:t>Hancock</w:t>
      </w:r>
      <w:r w:rsidRPr="0029361F">
        <w:rPr>
          <w:sz w:val="28"/>
          <w:szCs w:val="28"/>
        </w:rPr>
        <w:t xml:space="preserve">, the Alaska Supreme Court held that a house construction contract does not meet this standard, but cited with approval cases finding that the following duties are “so highly personal and laden with emotion” that they properly support an NIED claim: contracts to marry, to conduct a funeral, to sell a sealed casket, to conduct a cesarean birth, to surgically rebuild a nose, to provide promised maternity medical coverage, to provide medical services, and to keep a daughter informed about her mother’s health. </w:t>
      </w:r>
      <w:proofErr w:type="gramStart"/>
      <w:r w:rsidRPr="0029361F">
        <w:rPr>
          <w:i/>
          <w:sz w:val="28"/>
          <w:szCs w:val="28"/>
        </w:rPr>
        <w:t>Id.</w:t>
      </w:r>
      <w:r w:rsidR="00C70D69" w:rsidRPr="0029361F">
        <w:rPr>
          <w:sz w:val="28"/>
          <w:szCs w:val="28"/>
        </w:rPr>
        <w:t xml:space="preserve"> (citing cases).</w:t>
      </w:r>
      <w:proofErr w:type="gramEnd"/>
      <w:r w:rsidRPr="0029361F">
        <w:rPr>
          <w:sz w:val="28"/>
          <w:szCs w:val="28"/>
        </w:rPr>
        <w:t xml:space="preserve"> Under </w:t>
      </w:r>
      <w:r w:rsidRPr="0029361F">
        <w:rPr>
          <w:i/>
          <w:sz w:val="28"/>
          <w:szCs w:val="28"/>
        </w:rPr>
        <w:t>Hancock</w:t>
      </w:r>
      <w:r w:rsidRPr="0029361F">
        <w:rPr>
          <w:sz w:val="28"/>
          <w:szCs w:val="28"/>
        </w:rPr>
        <w:t>, the court determines as a matter of law whether a preexisting duty is legally sufficient to support the NIED claim. If the court determines that a legally sufficient duty exists, it should instruct the jury</w:t>
      </w:r>
      <w:r w:rsidR="00C70D69" w:rsidRPr="0029361F">
        <w:rPr>
          <w:sz w:val="28"/>
          <w:szCs w:val="28"/>
        </w:rPr>
        <w:t xml:space="preserve"> as to the nature of the duty. </w:t>
      </w:r>
      <w:r w:rsidRPr="0029361F">
        <w:rPr>
          <w:sz w:val="28"/>
          <w:szCs w:val="28"/>
        </w:rPr>
        <w:t>If a factual dispute requires the jury to determine the nature or existence of the alleged duty, that question can be added as an element in this instruction.</w:t>
      </w:r>
    </w:p>
    <w:p w:rsidR="006B0EDD" w:rsidRPr="0029361F" w:rsidRDefault="006B0EDD" w:rsidP="00C70D69">
      <w:pPr>
        <w:widowControl w:val="0"/>
        <w:autoSpaceDE w:val="0"/>
        <w:autoSpaceDN w:val="0"/>
        <w:adjustRightInd w:val="0"/>
        <w:jc w:val="both"/>
        <w:rPr>
          <w:sz w:val="28"/>
          <w:szCs w:val="28"/>
        </w:rPr>
      </w:pPr>
    </w:p>
    <w:p w:rsidR="007C2370" w:rsidRPr="0029361F" w:rsidRDefault="007C2370" w:rsidP="00C70D69">
      <w:pPr>
        <w:jc w:val="both"/>
        <w:rPr>
          <w:color w:val="212121"/>
          <w:sz w:val="28"/>
          <w:szCs w:val="28"/>
        </w:rPr>
      </w:pPr>
      <w:r w:rsidRPr="0029361F">
        <w:rPr>
          <w:rStyle w:val="cohl"/>
          <w:color w:val="212121"/>
          <w:sz w:val="28"/>
          <w:szCs w:val="28"/>
        </w:rPr>
        <w:t>Whether a plaintiff’s injury rises to the level of “severe emotional distre</w:t>
      </w:r>
      <w:r w:rsidR="00A02D01" w:rsidRPr="0029361F">
        <w:rPr>
          <w:rStyle w:val="cohl"/>
          <w:color w:val="212121"/>
          <w:sz w:val="28"/>
          <w:szCs w:val="28"/>
        </w:rPr>
        <w:t>ss” is a question for the jury.</w:t>
      </w:r>
      <w:r w:rsidRPr="0029361F">
        <w:rPr>
          <w:rStyle w:val="cohl"/>
          <w:color w:val="212121"/>
          <w:sz w:val="28"/>
          <w:szCs w:val="28"/>
        </w:rPr>
        <w:t xml:space="preserve"> </w:t>
      </w:r>
      <w:proofErr w:type="spellStart"/>
      <w:proofErr w:type="gramStart"/>
      <w:r w:rsidRPr="0029361F">
        <w:rPr>
          <w:rStyle w:val="cohl"/>
          <w:i/>
          <w:color w:val="212121"/>
          <w:sz w:val="28"/>
          <w:szCs w:val="28"/>
        </w:rPr>
        <w:t>Chizmar</w:t>
      </w:r>
      <w:proofErr w:type="spellEnd"/>
      <w:r w:rsidRPr="0029361F">
        <w:rPr>
          <w:rStyle w:val="cohl"/>
          <w:i/>
          <w:color w:val="212121"/>
          <w:sz w:val="28"/>
          <w:szCs w:val="28"/>
        </w:rPr>
        <w:t xml:space="preserve"> v. Mackie</w:t>
      </w:r>
      <w:r w:rsidRPr="0029361F">
        <w:rPr>
          <w:rStyle w:val="cohl"/>
          <w:color w:val="212121"/>
          <w:sz w:val="28"/>
          <w:szCs w:val="28"/>
        </w:rPr>
        <w:t>, 896 P.3d 196, 204-05 (A</w:t>
      </w:r>
      <w:r w:rsidR="00C70D69" w:rsidRPr="0029361F">
        <w:rPr>
          <w:rStyle w:val="cohl"/>
          <w:color w:val="212121"/>
          <w:sz w:val="28"/>
          <w:szCs w:val="28"/>
        </w:rPr>
        <w:t>laska 1995).</w:t>
      </w:r>
      <w:proofErr w:type="gramEnd"/>
      <w:r w:rsidRPr="0029361F">
        <w:rPr>
          <w:rStyle w:val="cohl"/>
          <w:color w:val="212121"/>
          <w:sz w:val="28"/>
          <w:szCs w:val="28"/>
        </w:rPr>
        <w:t xml:space="preserve"> </w:t>
      </w:r>
      <w:r w:rsidRPr="0029361F">
        <w:rPr>
          <w:sz w:val="28"/>
          <w:szCs w:val="28"/>
        </w:rPr>
        <w:t xml:space="preserve">The language defining “severe emotional distress” is taken from </w:t>
      </w:r>
      <w:proofErr w:type="spellStart"/>
      <w:r w:rsidRPr="0029361F">
        <w:rPr>
          <w:i/>
          <w:sz w:val="28"/>
          <w:szCs w:val="28"/>
        </w:rPr>
        <w:t>Sowinski</w:t>
      </w:r>
      <w:proofErr w:type="spellEnd"/>
      <w:r w:rsidRPr="0029361F">
        <w:rPr>
          <w:i/>
          <w:sz w:val="28"/>
          <w:szCs w:val="28"/>
        </w:rPr>
        <w:t xml:space="preserve"> v. Walker</w:t>
      </w:r>
      <w:r w:rsidRPr="0029361F">
        <w:rPr>
          <w:sz w:val="28"/>
          <w:szCs w:val="28"/>
        </w:rPr>
        <w:t>, 198 P.3d 1134, 1166 (Alaska 2008), in which the Alaska Supreme Court affirmed a very similar instruction.</w:t>
      </w:r>
    </w:p>
    <w:p w:rsidR="006B0EDD" w:rsidRPr="0029361F" w:rsidRDefault="006B0EDD" w:rsidP="00C70D69">
      <w:pPr>
        <w:jc w:val="both"/>
        <w:rPr>
          <w:sz w:val="28"/>
          <w:szCs w:val="28"/>
        </w:rPr>
      </w:pPr>
    </w:p>
    <w:p w:rsidR="007C2370" w:rsidRPr="0029361F" w:rsidRDefault="007C2370" w:rsidP="00C70D69">
      <w:pPr>
        <w:widowControl w:val="0"/>
        <w:autoSpaceDE w:val="0"/>
        <w:autoSpaceDN w:val="0"/>
        <w:adjustRightInd w:val="0"/>
        <w:jc w:val="both"/>
        <w:rPr>
          <w:sz w:val="28"/>
          <w:szCs w:val="28"/>
        </w:rPr>
      </w:pPr>
      <w:r w:rsidRPr="0029361F">
        <w:rPr>
          <w:sz w:val="28"/>
          <w:szCs w:val="28"/>
        </w:rPr>
        <w:t xml:space="preserve">Although Comment j to Restatement (Third) of Torts § 46 suggests that there may be a difference between “serious emotional distress” and “severe emotional distress,” the Alaska Supreme Court uses the terms interchangeably. </w:t>
      </w:r>
      <w:r w:rsidRPr="0029361F">
        <w:rPr>
          <w:i/>
          <w:sz w:val="28"/>
          <w:szCs w:val="28"/>
        </w:rPr>
        <w:t>Fyffe v. Wright</w:t>
      </w:r>
      <w:r w:rsidRPr="0029361F">
        <w:rPr>
          <w:sz w:val="28"/>
          <w:szCs w:val="28"/>
        </w:rPr>
        <w:t xml:space="preserve">, 93 P.3d 444, 456 n.34 (Alaska 2004), </w:t>
      </w:r>
      <w:r w:rsidRPr="0029361F">
        <w:rPr>
          <w:i/>
          <w:iCs/>
          <w:sz w:val="28"/>
          <w:szCs w:val="28"/>
        </w:rPr>
        <w:t xml:space="preserve">partially disavowed on other </w:t>
      </w:r>
      <w:r w:rsidRPr="0029361F">
        <w:rPr>
          <w:i/>
          <w:iCs/>
          <w:sz w:val="28"/>
          <w:szCs w:val="28"/>
        </w:rPr>
        <w:lastRenderedPageBreak/>
        <w:t>grounds by Burton v. Fountainhead Dev., Inc.</w:t>
      </w:r>
      <w:r w:rsidRPr="0029361F">
        <w:rPr>
          <w:sz w:val="28"/>
          <w:szCs w:val="28"/>
        </w:rPr>
        <w:t xml:space="preserve">, </w:t>
      </w:r>
      <w:proofErr w:type="gramStart"/>
      <w:r w:rsidRPr="0029361F">
        <w:rPr>
          <w:sz w:val="28"/>
          <w:szCs w:val="28"/>
        </w:rPr>
        <w:t>393</w:t>
      </w:r>
      <w:proofErr w:type="gramEnd"/>
      <w:r w:rsidRPr="0029361F">
        <w:rPr>
          <w:sz w:val="28"/>
          <w:szCs w:val="28"/>
        </w:rPr>
        <w:t xml:space="preserve"> P.3d 387, 392-93 &amp; n.20 (Alaska 2017).</w:t>
      </w:r>
    </w:p>
    <w:sectPr w:rsidR="007C2370" w:rsidRPr="0029361F" w:rsidSect="0001361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61F" w:rsidRDefault="0029361F" w:rsidP="0029361F">
      <w:r>
        <w:separator/>
      </w:r>
    </w:p>
  </w:endnote>
  <w:endnote w:type="continuationSeparator" w:id="0">
    <w:p w:rsidR="0029361F" w:rsidRDefault="0029361F" w:rsidP="00293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6" w:rsidRDefault="004C05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0896737"/>
      <w:docPartObj>
        <w:docPartGallery w:val="Page Numbers (Bottom of Page)"/>
        <w:docPartUnique/>
      </w:docPartObj>
    </w:sdtPr>
    <w:sdtEndPr/>
    <w:sdtContent>
      <w:p w:rsidR="0029361F" w:rsidRDefault="00445B4A" w:rsidP="004C0576">
        <w:pPr>
          <w:pStyle w:val="Footer"/>
        </w:pPr>
        <w:sdt>
          <w:sdtPr>
            <w:id w:val="98381352"/>
            <w:docPartObj>
              <w:docPartGallery w:val="Page Numbers (Top of Page)"/>
              <w:docPartUnique/>
            </w:docPartObj>
          </w:sdtPr>
          <w:sdtEndPr/>
          <w:sdtContent>
            <w:r w:rsidR="004C0576">
              <w:rPr>
                <w:sz w:val="22"/>
                <w:szCs w:val="22"/>
              </w:rPr>
              <w:t>Added 2019</w:t>
            </w:r>
            <w:r w:rsidR="004C0576">
              <w:rPr>
                <w:sz w:val="22"/>
                <w:szCs w:val="22"/>
              </w:rPr>
              <w:tab/>
            </w:r>
            <w:r w:rsidR="004C0576">
              <w:rPr>
                <w:sz w:val="22"/>
                <w:szCs w:val="22"/>
              </w:rPr>
              <w:tab/>
              <w:t>3</w:t>
            </w:r>
            <w:r w:rsidR="0029361F">
              <w:rPr>
                <w:sz w:val="22"/>
                <w:szCs w:val="22"/>
              </w:rPr>
              <w:t xml:space="preserve">.15A - </w:t>
            </w:r>
            <w:r w:rsidR="0029361F" w:rsidRPr="0029361F">
              <w:rPr>
                <w:sz w:val="22"/>
                <w:szCs w:val="22"/>
              </w:rPr>
              <w:t xml:space="preserve">Page </w:t>
            </w:r>
            <w:r w:rsidR="0029361F" w:rsidRPr="0029361F">
              <w:rPr>
                <w:bCs/>
                <w:sz w:val="22"/>
                <w:szCs w:val="22"/>
              </w:rPr>
              <w:fldChar w:fldCharType="begin"/>
            </w:r>
            <w:r w:rsidR="0029361F" w:rsidRPr="0029361F">
              <w:rPr>
                <w:bCs/>
                <w:sz w:val="22"/>
                <w:szCs w:val="22"/>
              </w:rPr>
              <w:instrText xml:space="preserve"> PAGE </w:instrText>
            </w:r>
            <w:r w:rsidR="0029361F" w:rsidRPr="0029361F">
              <w:rPr>
                <w:bCs/>
                <w:sz w:val="22"/>
                <w:szCs w:val="22"/>
              </w:rPr>
              <w:fldChar w:fldCharType="separate"/>
            </w:r>
            <w:r>
              <w:rPr>
                <w:bCs/>
                <w:noProof/>
                <w:sz w:val="22"/>
                <w:szCs w:val="22"/>
              </w:rPr>
              <w:t>1</w:t>
            </w:r>
            <w:r w:rsidR="0029361F" w:rsidRPr="0029361F">
              <w:rPr>
                <w:bCs/>
                <w:sz w:val="22"/>
                <w:szCs w:val="22"/>
              </w:rPr>
              <w:fldChar w:fldCharType="end"/>
            </w:r>
            <w:r w:rsidR="0029361F" w:rsidRPr="0029361F">
              <w:rPr>
                <w:sz w:val="22"/>
                <w:szCs w:val="22"/>
              </w:rPr>
              <w:t xml:space="preserve"> of </w:t>
            </w:r>
            <w:r w:rsidR="0029361F" w:rsidRPr="0029361F">
              <w:rPr>
                <w:bCs/>
                <w:sz w:val="22"/>
                <w:szCs w:val="22"/>
              </w:rPr>
              <w:fldChar w:fldCharType="begin"/>
            </w:r>
            <w:r w:rsidR="0029361F" w:rsidRPr="0029361F">
              <w:rPr>
                <w:bCs/>
                <w:sz w:val="22"/>
                <w:szCs w:val="22"/>
              </w:rPr>
              <w:instrText xml:space="preserve"> NUMPAGES  </w:instrText>
            </w:r>
            <w:r w:rsidR="0029361F" w:rsidRPr="0029361F">
              <w:rPr>
                <w:bCs/>
                <w:sz w:val="22"/>
                <w:szCs w:val="22"/>
              </w:rPr>
              <w:fldChar w:fldCharType="separate"/>
            </w:r>
            <w:r>
              <w:rPr>
                <w:bCs/>
                <w:noProof/>
                <w:sz w:val="22"/>
                <w:szCs w:val="22"/>
              </w:rPr>
              <w:t>3</w:t>
            </w:r>
            <w:r w:rsidR="0029361F" w:rsidRPr="0029361F">
              <w:rPr>
                <w:bCs/>
                <w:sz w:val="22"/>
                <w:szCs w:val="22"/>
              </w:rPr>
              <w:fldChar w:fldCharType="end"/>
            </w:r>
          </w:sdtContent>
        </w:sdt>
      </w:p>
    </w:sdtContent>
  </w:sdt>
  <w:p w:rsidR="0029361F" w:rsidRDefault="002936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6" w:rsidRDefault="004C05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61F" w:rsidRDefault="0029361F" w:rsidP="0029361F">
      <w:r>
        <w:separator/>
      </w:r>
    </w:p>
  </w:footnote>
  <w:footnote w:type="continuationSeparator" w:id="0">
    <w:p w:rsidR="0029361F" w:rsidRDefault="0029361F" w:rsidP="002936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6" w:rsidRDefault="004C05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6" w:rsidRDefault="004C05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576" w:rsidRDefault="004C05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313DB"/>
    <w:multiLevelType w:val="hybridMultilevel"/>
    <w:tmpl w:val="EB08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EDD"/>
    <w:rsid w:val="000D2CBE"/>
    <w:rsid w:val="001A51FF"/>
    <w:rsid w:val="001E4776"/>
    <w:rsid w:val="0029361F"/>
    <w:rsid w:val="002B3E50"/>
    <w:rsid w:val="00445B4A"/>
    <w:rsid w:val="00455415"/>
    <w:rsid w:val="004C0576"/>
    <w:rsid w:val="006119F5"/>
    <w:rsid w:val="006838B9"/>
    <w:rsid w:val="006A240C"/>
    <w:rsid w:val="006B0EDD"/>
    <w:rsid w:val="007C2370"/>
    <w:rsid w:val="00846903"/>
    <w:rsid w:val="00A02D01"/>
    <w:rsid w:val="00BF05F9"/>
    <w:rsid w:val="00C70D69"/>
    <w:rsid w:val="00CE354B"/>
    <w:rsid w:val="00CE50F3"/>
    <w:rsid w:val="00D42F65"/>
    <w:rsid w:val="00E35471"/>
    <w:rsid w:val="00EC0D07"/>
    <w:rsid w:val="00EC7184"/>
    <w:rsid w:val="00ED69BB"/>
    <w:rsid w:val="00F81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6"/>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DD"/>
    <w:pPr>
      <w:spacing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354B"/>
    <w:pPr>
      <w:spacing w:before="120" w:after="120"/>
    </w:pPr>
    <w:rPr>
      <w:szCs w:val="20"/>
    </w:rPr>
  </w:style>
  <w:style w:type="character" w:customStyle="1" w:styleId="FootnoteTextChar">
    <w:name w:val="Footnote Text Char"/>
    <w:basedOn w:val="DefaultParagraphFont"/>
    <w:link w:val="FootnoteText"/>
    <w:uiPriority w:val="99"/>
    <w:rsid w:val="00CE354B"/>
    <w:rPr>
      <w:szCs w:val="20"/>
    </w:rPr>
  </w:style>
  <w:style w:type="character" w:styleId="FootnoteReference">
    <w:name w:val="footnote reference"/>
    <w:basedOn w:val="DefaultParagraphFont"/>
    <w:uiPriority w:val="99"/>
    <w:semiHidden/>
    <w:unhideWhenUsed/>
    <w:rsid w:val="00CE50F3"/>
    <w:rPr>
      <w:vertAlign w:val="superscript"/>
    </w:rPr>
  </w:style>
  <w:style w:type="character" w:customStyle="1" w:styleId="cohl">
    <w:name w:val="co_hl"/>
    <w:basedOn w:val="DefaultParagraphFont"/>
    <w:rsid w:val="006B0EDD"/>
  </w:style>
  <w:style w:type="paragraph" w:styleId="BalloonText">
    <w:name w:val="Balloon Text"/>
    <w:basedOn w:val="Normal"/>
    <w:link w:val="BalloonTextChar"/>
    <w:uiPriority w:val="99"/>
    <w:semiHidden/>
    <w:unhideWhenUsed/>
    <w:rsid w:val="006B0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DD"/>
    <w:rPr>
      <w:rFonts w:ascii="Segoe UI" w:hAnsi="Segoe UI" w:cs="Segoe UI"/>
      <w:sz w:val="18"/>
      <w:szCs w:val="18"/>
    </w:rPr>
  </w:style>
  <w:style w:type="paragraph" w:styleId="Header">
    <w:name w:val="header"/>
    <w:basedOn w:val="Normal"/>
    <w:link w:val="HeaderChar"/>
    <w:uiPriority w:val="99"/>
    <w:unhideWhenUsed/>
    <w:rsid w:val="0029361F"/>
    <w:pPr>
      <w:tabs>
        <w:tab w:val="center" w:pos="4680"/>
        <w:tab w:val="right" w:pos="9360"/>
      </w:tabs>
    </w:pPr>
  </w:style>
  <w:style w:type="character" w:customStyle="1" w:styleId="HeaderChar">
    <w:name w:val="Header Char"/>
    <w:basedOn w:val="DefaultParagraphFont"/>
    <w:link w:val="Header"/>
    <w:uiPriority w:val="99"/>
    <w:rsid w:val="0029361F"/>
    <w:rPr>
      <w:rFonts w:cs="Times New Roman"/>
    </w:rPr>
  </w:style>
  <w:style w:type="paragraph" w:styleId="Footer">
    <w:name w:val="footer"/>
    <w:basedOn w:val="Normal"/>
    <w:link w:val="FooterChar"/>
    <w:uiPriority w:val="99"/>
    <w:unhideWhenUsed/>
    <w:rsid w:val="0029361F"/>
    <w:pPr>
      <w:tabs>
        <w:tab w:val="center" w:pos="4680"/>
        <w:tab w:val="right" w:pos="9360"/>
      </w:tabs>
    </w:pPr>
  </w:style>
  <w:style w:type="character" w:customStyle="1" w:styleId="FooterChar">
    <w:name w:val="Footer Char"/>
    <w:basedOn w:val="DefaultParagraphFont"/>
    <w:link w:val="Footer"/>
    <w:uiPriority w:val="99"/>
    <w:rsid w:val="0029361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6"/>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EDD"/>
    <w:pPr>
      <w:spacing w:line="240" w:lineRule="auto"/>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E354B"/>
    <w:pPr>
      <w:spacing w:before="120" w:after="120"/>
    </w:pPr>
    <w:rPr>
      <w:szCs w:val="20"/>
    </w:rPr>
  </w:style>
  <w:style w:type="character" w:customStyle="1" w:styleId="FootnoteTextChar">
    <w:name w:val="Footnote Text Char"/>
    <w:basedOn w:val="DefaultParagraphFont"/>
    <w:link w:val="FootnoteText"/>
    <w:uiPriority w:val="99"/>
    <w:rsid w:val="00CE354B"/>
    <w:rPr>
      <w:szCs w:val="20"/>
    </w:rPr>
  </w:style>
  <w:style w:type="character" w:styleId="FootnoteReference">
    <w:name w:val="footnote reference"/>
    <w:basedOn w:val="DefaultParagraphFont"/>
    <w:uiPriority w:val="99"/>
    <w:semiHidden/>
    <w:unhideWhenUsed/>
    <w:rsid w:val="00CE50F3"/>
    <w:rPr>
      <w:vertAlign w:val="superscript"/>
    </w:rPr>
  </w:style>
  <w:style w:type="character" w:customStyle="1" w:styleId="cohl">
    <w:name w:val="co_hl"/>
    <w:basedOn w:val="DefaultParagraphFont"/>
    <w:rsid w:val="006B0EDD"/>
  </w:style>
  <w:style w:type="paragraph" w:styleId="BalloonText">
    <w:name w:val="Balloon Text"/>
    <w:basedOn w:val="Normal"/>
    <w:link w:val="BalloonTextChar"/>
    <w:uiPriority w:val="99"/>
    <w:semiHidden/>
    <w:unhideWhenUsed/>
    <w:rsid w:val="006B0E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EDD"/>
    <w:rPr>
      <w:rFonts w:ascii="Segoe UI" w:hAnsi="Segoe UI" w:cs="Segoe UI"/>
      <w:sz w:val="18"/>
      <w:szCs w:val="18"/>
    </w:rPr>
  </w:style>
  <w:style w:type="paragraph" w:styleId="Header">
    <w:name w:val="header"/>
    <w:basedOn w:val="Normal"/>
    <w:link w:val="HeaderChar"/>
    <w:uiPriority w:val="99"/>
    <w:unhideWhenUsed/>
    <w:rsid w:val="0029361F"/>
    <w:pPr>
      <w:tabs>
        <w:tab w:val="center" w:pos="4680"/>
        <w:tab w:val="right" w:pos="9360"/>
      </w:tabs>
    </w:pPr>
  </w:style>
  <w:style w:type="character" w:customStyle="1" w:styleId="HeaderChar">
    <w:name w:val="Header Char"/>
    <w:basedOn w:val="DefaultParagraphFont"/>
    <w:link w:val="Header"/>
    <w:uiPriority w:val="99"/>
    <w:rsid w:val="0029361F"/>
    <w:rPr>
      <w:rFonts w:cs="Times New Roman"/>
    </w:rPr>
  </w:style>
  <w:style w:type="paragraph" w:styleId="Footer">
    <w:name w:val="footer"/>
    <w:basedOn w:val="Normal"/>
    <w:link w:val="FooterChar"/>
    <w:uiPriority w:val="99"/>
    <w:unhideWhenUsed/>
    <w:rsid w:val="0029361F"/>
    <w:pPr>
      <w:tabs>
        <w:tab w:val="center" w:pos="4680"/>
        <w:tab w:val="right" w:pos="9360"/>
      </w:tabs>
    </w:pPr>
  </w:style>
  <w:style w:type="character" w:customStyle="1" w:styleId="FooterChar">
    <w:name w:val="Footer Char"/>
    <w:basedOn w:val="DefaultParagraphFont"/>
    <w:link w:val="Footer"/>
    <w:uiPriority w:val="99"/>
    <w:rsid w:val="0029361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1.next.westlaw.com/Link/Document/FullText?entityType=disease&amp;entityId=Ic6c75a10475411db9765f9243f53508a&amp;originationContext=document&amp;transitionType=DocumentItem&amp;contextData=(sc.Defaul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5D76-489B-4C64-9DC7-FD566E9D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Municipality of Anchorage</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Botstein, Ruth</dc:creator>
  <cp:lastModifiedBy>Sanjay Kodidine</cp:lastModifiedBy>
  <cp:revision>2</cp:revision>
  <cp:lastPrinted>2019-11-01T18:53:00Z</cp:lastPrinted>
  <dcterms:created xsi:type="dcterms:W3CDTF">2019-11-12T22:45:00Z</dcterms:created>
  <dcterms:modified xsi:type="dcterms:W3CDTF">2019-11-12T22:45:00Z</dcterms:modified>
</cp:coreProperties>
</file>