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0F50A" w14:textId="6DAD35D1" w:rsidR="000E6D29" w:rsidRDefault="00DF7DE0" w:rsidP="00DF7DE0">
      <w:pPr>
        <w:ind w:left="1440" w:hanging="1440"/>
        <w:outlineLvl w:val="0"/>
        <w:rPr>
          <w:b/>
          <w:sz w:val="28"/>
          <w:szCs w:val="28"/>
        </w:rPr>
      </w:pPr>
      <w:r w:rsidRPr="00A96153">
        <w:rPr>
          <w:b/>
          <w:sz w:val="28"/>
          <w:szCs w:val="28"/>
        </w:rPr>
        <w:t>3.16</w:t>
      </w:r>
      <w:r w:rsidRPr="00A96153">
        <w:rPr>
          <w:b/>
          <w:sz w:val="28"/>
          <w:szCs w:val="28"/>
        </w:rPr>
        <w:tab/>
      </w:r>
      <w:bookmarkStart w:id="0" w:name="_GoBack"/>
      <w:r w:rsidR="000E6D29" w:rsidRPr="00A96153">
        <w:rPr>
          <w:b/>
          <w:sz w:val="28"/>
          <w:szCs w:val="28"/>
        </w:rPr>
        <w:t>Intentional Infliction of Emotional Distress</w:t>
      </w:r>
      <w:bookmarkEnd w:id="0"/>
    </w:p>
    <w:p w14:paraId="365F3443" w14:textId="77777777" w:rsidR="00A96153" w:rsidRPr="00A96153" w:rsidRDefault="00A96153" w:rsidP="00DF7DE0">
      <w:pPr>
        <w:ind w:left="1440" w:hanging="1440"/>
        <w:outlineLvl w:val="0"/>
        <w:rPr>
          <w:b/>
          <w:sz w:val="28"/>
          <w:szCs w:val="28"/>
        </w:rPr>
      </w:pPr>
    </w:p>
    <w:p w14:paraId="48553C50" w14:textId="77777777" w:rsidR="006F2C86" w:rsidRPr="00D277D1" w:rsidRDefault="006F2C86" w:rsidP="006F2C86">
      <w:pPr>
        <w:ind w:firstLine="720"/>
        <w:jc w:val="center"/>
        <w:rPr>
          <w:b/>
          <w:sz w:val="26"/>
        </w:rPr>
      </w:pPr>
    </w:p>
    <w:p w14:paraId="08F7A9B0" w14:textId="2B7A9E31" w:rsidR="006F2C86" w:rsidRPr="00A96153" w:rsidRDefault="006F2C86" w:rsidP="001B2E12">
      <w:pPr>
        <w:spacing w:line="360" w:lineRule="auto"/>
        <w:jc w:val="both"/>
        <w:rPr>
          <w:sz w:val="28"/>
          <w:szCs w:val="28"/>
        </w:rPr>
      </w:pPr>
      <w:r w:rsidRPr="00A96153">
        <w:rPr>
          <w:sz w:val="28"/>
          <w:szCs w:val="28"/>
        </w:rPr>
        <w:t xml:space="preserve">[Plaintiff] </w:t>
      </w:r>
      <w:r w:rsidR="007A43E7" w:rsidRPr="00A96153">
        <w:rPr>
          <w:sz w:val="28"/>
          <w:szCs w:val="28"/>
        </w:rPr>
        <w:t xml:space="preserve">claims that she/he suffered severe emotional distress as a result of </w:t>
      </w:r>
      <w:r w:rsidRPr="00A96153">
        <w:rPr>
          <w:sz w:val="28"/>
          <w:szCs w:val="28"/>
        </w:rPr>
        <w:t>intentional infliction of emotional distress.</w:t>
      </w:r>
    </w:p>
    <w:p w14:paraId="203584DB" w14:textId="77777777" w:rsidR="006F2C86" w:rsidRPr="00A96153" w:rsidRDefault="006F2C86" w:rsidP="001B2E12">
      <w:pPr>
        <w:spacing w:line="360" w:lineRule="auto"/>
        <w:jc w:val="both"/>
        <w:rPr>
          <w:sz w:val="28"/>
          <w:szCs w:val="28"/>
        </w:rPr>
      </w:pPr>
    </w:p>
    <w:p w14:paraId="403676B6" w14:textId="05C1B4E5" w:rsidR="006F2C86" w:rsidRPr="00A96153" w:rsidRDefault="006F2C86" w:rsidP="001B2E12">
      <w:pPr>
        <w:spacing w:line="360" w:lineRule="auto"/>
        <w:jc w:val="both"/>
        <w:rPr>
          <w:snapToGrid w:val="0"/>
          <w:sz w:val="28"/>
          <w:szCs w:val="28"/>
        </w:rPr>
      </w:pPr>
      <w:r w:rsidRPr="00A96153">
        <w:rPr>
          <w:snapToGrid w:val="0"/>
          <w:sz w:val="28"/>
          <w:szCs w:val="28"/>
        </w:rPr>
        <w:t xml:space="preserve">In order to find in favor of </w:t>
      </w:r>
      <w:r w:rsidR="00683B61" w:rsidRPr="00A96153">
        <w:rPr>
          <w:snapToGrid w:val="0"/>
          <w:sz w:val="28"/>
          <w:szCs w:val="28"/>
        </w:rPr>
        <w:t>[</w:t>
      </w:r>
      <w:r w:rsidRPr="00A96153">
        <w:rPr>
          <w:snapToGrid w:val="0"/>
          <w:sz w:val="28"/>
          <w:szCs w:val="28"/>
        </w:rPr>
        <w:t>plaintiff</w:t>
      </w:r>
      <w:r w:rsidR="00683B61" w:rsidRPr="00A96153">
        <w:rPr>
          <w:snapToGrid w:val="0"/>
          <w:sz w:val="28"/>
          <w:szCs w:val="28"/>
        </w:rPr>
        <w:t>]</w:t>
      </w:r>
      <w:r w:rsidRPr="00A96153">
        <w:rPr>
          <w:snapToGrid w:val="0"/>
          <w:sz w:val="28"/>
          <w:szCs w:val="28"/>
        </w:rPr>
        <w:t xml:space="preserve"> on this claim, you must find that it is more likely true than not true that:</w:t>
      </w:r>
    </w:p>
    <w:p w14:paraId="047503F4" w14:textId="77777777" w:rsidR="006F2C86" w:rsidRPr="00A96153" w:rsidRDefault="006F2C86" w:rsidP="001B2E12">
      <w:pPr>
        <w:spacing w:line="360" w:lineRule="auto"/>
        <w:jc w:val="both"/>
        <w:rPr>
          <w:snapToGrid w:val="0"/>
          <w:sz w:val="28"/>
          <w:szCs w:val="28"/>
        </w:rPr>
      </w:pPr>
    </w:p>
    <w:p w14:paraId="439C9D9D" w14:textId="326C7F9D" w:rsidR="001B2E12" w:rsidRPr="00A96153" w:rsidRDefault="00FD0C4B" w:rsidP="001B2E12">
      <w:pPr>
        <w:spacing w:line="360" w:lineRule="auto"/>
        <w:ind w:left="720" w:hanging="720"/>
        <w:jc w:val="both"/>
        <w:rPr>
          <w:snapToGrid w:val="0"/>
          <w:sz w:val="28"/>
          <w:szCs w:val="28"/>
        </w:rPr>
      </w:pPr>
      <w:r w:rsidRPr="00A96153">
        <w:rPr>
          <w:snapToGrid w:val="0"/>
          <w:sz w:val="28"/>
          <w:szCs w:val="28"/>
        </w:rPr>
        <w:t>1.</w:t>
      </w:r>
      <w:r w:rsidRPr="00A96153">
        <w:rPr>
          <w:snapToGrid w:val="0"/>
          <w:sz w:val="28"/>
          <w:szCs w:val="28"/>
        </w:rPr>
        <w:tab/>
      </w:r>
      <w:r w:rsidR="006F2C86" w:rsidRPr="00A96153">
        <w:rPr>
          <w:snapToGrid w:val="0"/>
          <w:sz w:val="28"/>
          <w:szCs w:val="28"/>
        </w:rPr>
        <w:t>[Defendant]’s conduct was extreme and outrageous;</w:t>
      </w:r>
    </w:p>
    <w:p w14:paraId="6DF9EA7D" w14:textId="3193027D" w:rsidR="006F2C86" w:rsidRPr="00A96153" w:rsidRDefault="00FD0C4B" w:rsidP="001B2E12">
      <w:pPr>
        <w:spacing w:line="360" w:lineRule="auto"/>
        <w:ind w:left="720" w:hanging="720"/>
        <w:jc w:val="both"/>
        <w:rPr>
          <w:sz w:val="28"/>
          <w:szCs w:val="28"/>
        </w:rPr>
      </w:pPr>
      <w:r w:rsidRPr="00A96153">
        <w:rPr>
          <w:snapToGrid w:val="0"/>
          <w:sz w:val="28"/>
          <w:szCs w:val="28"/>
        </w:rPr>
        <w:t>2.</w:t>
      </w:r>
      <w:r w:rsidRPr="00A96153">
        <w:rPr>
          <w:snapToGrid w:val="0"/>
          <w:sz w:val="28"/>
          <w:szCs w:val="28"/>
        </w:rPr>
        <w:tab/>
      </w:r>
      <w:r w:rsidR="006F2C86" w:rsidRPr="00A96153">
        <w:rPr>
          <w:sz w:val="28"/>
          <w:szCs w:val="28"/>
        </w:rPr>
        <w:t>[D</w:t>
      </w:r>
      <w:r w:rsidR="006F2C86" w:rsidRPr="00A96153">
        <w:rPr>
          <w:snapToGrid w:val="0"/>
          <w:sz w:val="28"/>
          <w:szCs w:val="28"/>
        </w:rPr>
        <w:t>efendant]</w:t>
      </w:r>
      <w:r w:rsidR="006F2C86" w:rsidRPr="00A96153">
        <w:rPr>
          <w:sz w:val="28"/>
          <w:szCs w:val="28"/>
        </w:rPr>
        <w:t xml:space="preserve"> intended to cause [plaintiff] to suffer emotional distress, or acted with reckless disregard of the probability of causing </w:t>
      </w:r>
      <w:r w:rsidR="007725C8" w:rsidRPr="00A96153">
        <w:rPr>
          <w:sz w:val="28"/>
          <w:szCs w:val="28"/>
        </w:rPr>
        <w:t>[</w:t>
      </w:r>
      <w:r w:rsidR="006F2C86" w:rsidRPr="00A96153">
        <w:rPr>
          <w:sz w:val="28"/>
          <w:szCs w:val="28"/>
        </w:rPr>
        <w:t>plaintiff</w:t>
      </w:r>
      <w:r w:rsidR="007725C8" w:rsidRPr="00A96153">
        <w:rPr>
          <w:sz w:val="28"/>
          <w:szCs w:val="28"/>
        </w:rPr>
        <w:t>]</w:t>
      </w:r>
      <w:r w:rsidR="006F2C86" w:rsidRPr="00A96153">
        <w:rPr>
          <w:sz w:val="28"/>
          <w:szCs w:val="28"/>
        </w:rPr>
        <w:t xml:space="preserve"> to suffer emotional distress; </w:t>
      </w:r>
    </w:p>
    <w:p w14:paraId="27A5A99C" w14:textId="6DEE8C6C" w:rsidR="006F2C86" w:rsidRPr="00A96153" w:rsidRDefault="00FD0C4B" w:rsidP="001B2E12">
      <w:pPr>
        <w:spacing w:line="360" w:lineRule="auto"/>
        <w:ind w:left="720" w:hanging="720"/>
        <w:jc w:val="both"/>
        <w:rPr>
          <w:sz w:val="28"/>
          <w:szCs w:val="28"/>
        </w:rPr>
      </w:pPr>
      <w:r w:rsidRPr="00A96153">
        <w:rPr>
          <w:sz w:val="28"/>
          <w:szCs w:val="28"/>
        </w:rPr>
        <w:t>3.</w:t>
      </w:r>
      <w:r w:rsidRPr="00A96153">
        <w:rPr>
          <w:sz w:val="28"/>
          <w:szCs w:val="28"/>
        </w:rPr>
        <w:tab/>
      </w:r>
      <w:r w:rsidR="006F2C86" w:rsidRPr="00A96153">
        <w:rPr>
          <w:sz w:val="28"/>
          <w:szCs w:val="28"/>
        </w:rPr>
        <w:t>[Defendant]’s conduct caused [plaintiff] to experience severe emotional distress.</w:t>
      </w:r>
    </w:p>
    <w:p w14:paraId="1968843D" w14:textId="77777777" w:rsidR="006F2C86" w:rsidRPr="00A96153" w:rsidRDefault="006F2C86" w:rsidP="001B2E12">
      <w:pPr>
        <w:spacing w:line="360" w:lineRule="auto"/>
        <w:jc w:val="both"/>
        <w:rPr>
          <w:sz w:val="28"/>
          <w:szCs w:val="28"/>
        </w:rPr>
      </w:pPr>
    </w:p>
    <w:p w14:paraId="59A5E556" w14:textId="6E978E9C" w:rsidR="006F2C86" w:rsidRPr="00A96153" w:rsidRDefault="006F2C86" w:rsidP="001B2E12">
      <w:pPr>
        <w:spacing w:line="360" w:lineRule="auto"/>
        <w:jc w:val="both"/>
        <w:rPr>
          <w:sz w:val="28"/>
          <w:szCs w:val="28"/>
        </w:rPr>
      </w:pPr>
      <w:r w:rsidRPr="00A96153">
        <w:rPr>
          <w:sz w:val="28"/>
          <w:szCs w:val="28"/>
        </w:rPr>
        <w:t xml:space="preserve">You must find all three of these elements present to compensate </w:t>
      </w:r>
      <w:r w:rsidR="007725C8" w:rsidRPr="00A96153">
        <w:rPr>
          <w:sz w:val="28"/>
          <w:szCs w:val="28"/>
        </w:rPr>
        <w:t>[</w:t>
      </w:r>
      <w:r w:rsidRPr="00A96153">
        <w:rPr>
          <w:sz w:val="28"/>
          <w:szCs w:val="28"/>
        </w:rPr>
        <w:t>plaintiff</w:t>
      </w:r>
      <w:r w:rsidR="007725C8" w:rsidRPr="00A96153">
        <w:rPr>
          <w:sz w:val="28"/>
          <w:szCs w:val="28"/>
        </w:rPr>
        <w:t>]</w:t>
      </w:r>
      <w:r w:rsidRPr="00A96153">
        <w:rPr>
          <w:sz w:val="28"/>
          <w:szCs w:val="28"/>
        </w:rPr>
        <w:t xml:space="preserve"> for intentional infliction of emotional distress.</w:t>
      </w:r>
    </w:p>
    <w:p w14:paraId="4C5BF187" w14:textId="77777777" w:rsidR="006F2C86" w:rsidRPr="00A96153" w:rsidRDefault="006F2C86" w:rsidP="001B2E12">
      <w:pPr>
        <w:spacing w:line="360" w:lineRule="auto"/>
        <w:ind w:left="720"/>
        <w:jc w:val="both"/>
        <w:rPr>
          <w:sz w:val="28"/>
          <w:szCs w:val="28"/>
        </w:rPr>
      </w:pPr>
    </w:p>
    <w:p w14:paraId="7E4DA759" w14:textId="3D3A09B4" w:rsidR="006F2C86" w:rsidRPr="00A96153" w:rsidRDefault="006F2C86" w:rsidP="001B2E12">
      <w:pPr>
        <w:spacing w:line="360" w:lineRule="auto"/>
        <w:jc w:val="both"/>
        <w:rPr>
          <w:sz w:val="28"/>
          <w:szCs w:val="28"/>
        </w:rPr>
      </w:pPr>
      <w:r w:rsidRPr="00A96153">
        <w:rPr>
          <w:sz w:val="28"/>
          <w:szCs w:val="28"/>
        </w:rPr>
        <w:t xml:space="preserve">“Extreme and outrageous” conduct is conduct that goes beyond all possible bounds of decency so as to be regarded as atrocious and utterly intolerable in a civilized community. Conduct that is merely unreasonable, unfair, or unkind does not qualify as </w:t>
      </w:r>
      <w:r w:rsidR="00E43627">
        <w:rPr>
          <w:sz w:val="28"/>
          <w:szCs w:val="28"/>
        </w:rPr>
        <w:t xml:space="preserve">extreme and </w:t>
      </w:r>
      <w:r w:rsidRPr="00A96153">
        <w:rPr>
          <w:sz w:val="28"/>
          <w:szCs w:val="28"/>
        </w:rPr>
        <w:t>outra</w:t>
      </w:r>
      <w:r w:rsidR="007C7194" w:rsidRPr="00A96153">
        <w:rPr>
          <w:sz w:val="28"/>
          <w:szCs w:val="28"/>
        </w:rPr>
        <w:t xml:space="preserve">geous conduct. </w:t>
      </w:r>
      <w:r w:rsidRPr="00A96153">
        <w:rPr>
          <w:sz w:val="28"/>
          <w:szCs w:val="28"/>
        </w:rPr>
        <w:t>Extreme and outrageous conduct is conduct that would cause an average member of the community to immediately react in outrage.</w:t>
      </w:r>
    </w:p>
    <w:p w14:paraId="46E3D57C" w14:textId="77777777" w:rsidR="00A96153" w:rsidRDefault="00A96153" w:rsidP="001B2E12">
      <w:pPr>
        <w:widowControl w:val="0"/>
        <w:autoSpaceDE w:val="0"/>
        <w:autoSpaceDN w:val="0"/>
        <w:adjustRightInd w:val="0"/>
        <w:spacing w:line="360" w:lineRule="auto"/>
        <w:jc w:val="both"/>
        <w:rPr>
          <w:sz w:val="28"/>
          <w:szCs w:val="28"/>
        </w:rPr>
      </w:pPr>
    </w:p>
    <w:p w14:paraId="74FEB369" w14:textId="4B916118" w:rsidR="006F2C86" w:rsidRPr="00A96153" w:rsidRDefault="006F2C86" w:rsidP="001B2E12">
      <w:pPr>
        <w:widowControl w:val="0"/>
        <w:autoSpaceDE w:val="0"/>
        <w:autoSpaceDN w:val="0"/>
        <w:adjustRightInd w:val="0"/>
        <w:spacing w:line="360" w:lineRule="auto"/>
        <w:jc w:val="both"/>
        <w:rPr>
          <w:sz w:val="28"/>
          <w:szCs w:val="28"/>
        </w:rPr>
      </w:pPr>
      <w:r w:rsidRPr="00A96153">
        <w:rPr>
          <w:sz w:val="28"/>
          <w:szCs w:val="28"/>
        </w:rPr>
        <w:t xml:space="preserve">A person acts with reckless disregard of the probability of causing emotional distress to another if </w:t>
      </w:r>
      <w:r w:rsidR="00E43627">
        <w:rPr>
          <w:sz w:val="28"/>
          <w:szCs w:val="28"/>
        </w:rPr>
        <w:t>[she/he]</w:t>
      </w:r>
      <w:r w:rsidR="00683B61" w:rsidRPr="00A96153">
        <w:rPr>
          <w:sz w:val="28"/>
          <w:szCs w:val="28"/>
        </w:rPr>
        <w:t xml:space="preserve"> do</w:t>
      </w:r>
      <w:r w:rsidR="00E43627">
        <w:rPr>
          <w:sz w:val="28"/>
          <w:szCs w:val="28"/>
        </w:rPr>
        <w:t>es</w:t>
      </w:r>
      <w:r w:rsidRPr="00A96153">
        <w:rPr>
          <w:sz w:val="28"/>
          <w:szCs w:val="28"/>
        </w:rPr>
        <w:t xml:space="preserve"> not intend to cause harm, but deliberately </w:t>
      </w:r>
      <w:r w:rsidRPr="00A96153">
        <w:rPr>
          <w:sz w:val="28"/>
          <w:szCs w:val="28"/>
        </w:rPr>
        <w:lastRenderedPageBreak/>
        <w:t>disregard</w:t>
      </w:r>
      <w:r w:rsidR="00885779" w:rsidRPr="00A96153">
        <w:rPr>
          <w:sz w:val="28"/>
          <w:szCs w:val="28"/>
        </w:rPr>
        <w:t>s</w:t>
      </w:r>
      <w:r w:rsidRPr="00A96153">
        <w:rPr>
          <w:sz w:val="28"/>
          <w:szCs w:val="28"/>
        </w:rPr>
        <w:t xml:space="preserve"> a high degree of probability that emotional distress will follow from </w:t>
      </w:r>
      <w:r w:rsidR="00E43627">
        <w:rPr>
          <w:sz w:val="28"/>
          <w:szCs w:val="28"/>
        </w:rPr>
        <w:t>[his/her]</w:t>
      </w:r>
      <w:r w:rsidRPr="00A96153">
        <w:rPr>
          <w:sz w:val="28"/>
          <w:szCs w:val="28"/>
        </w:rPr>
        <w:t xml:space="preserve"> actions.  </w:t>
      </w:r>
    </w:p>
    <w:p w14:paraId="6A35B3AF" w14:textId="77777777" w:rsidR="009C7021" w:rsidRPr="00A96153" w:rsidRDefault="009C7021" w:rsidP="001B2E12">
      <w:pPr>
        <w:widowControl w:val="0"/>
        <w:autoSpaceDE w:val="0"/>
        <w:autoSpaceDN w:val="0"/>
        <w:adjustRightInd w:val="0"/>
        <w:spacing w:line="360" w:lineRule="auto"/>
        <w:jc w:val="both"/>
        <w:rPr>
          <w:sz w:val="28"/>
          <w:szCs w:val="28"/>
        </w:rPr>
      </w:pPr>
    </w:p>
    <w:p w14:paraId="293B3A2F" w14:textId="501FDDD1" w:rsidR="009C7021" w:rsidRPr="00A96153" w:rsidRDefault="009C7021" w:rsidP="001B2E12">
      <w:pPr>
        <w:widowControl w:val="0"/>
        <w:autoSpaceDE w:val="0"/>
        <w:autoSpaceDN w:val="0"/>
        <w:adjustRightInd w:val="0"/>
        <w:spacing w:line="360" w:lineRule="auto"/>
        <w:jc w:val="both"/>
        <w:rPr>
          <w:sz w:val="28"/>
          <w:szCs w:val="28"/>
        </w:rPr>
      </w:pPr>
      <w:r w:rsidRPr="00A96153">
        <w:rPr>
          <w:sz w:val="28"/>
          <w:szCs w:val="28"/>
        </w:rPr>
        <w:t>Severe emotional distress is distress that is so substantial or enduring that no reasonable person sh</w:t>
      </w:r>
      <w:r w:rsidR="007C7194" w:rsidRPr="00A96153">
        <w:rPr>
          <w:sz w:val="28"/>
          <w:szCs w:val="28"/>
        </w:rPr>
        <w:t xml:space="preserve">ould be expected to endure it. </w:t>
      </w:r>
      <w:r w:rsidRPr="00A96153">
        <w:rPr>
          <w:sz w:val="28"/>
          <w:szCs w:val="28"/>
        </w:rPr>
        <w:t xml:space="preserve">Severe emotional distress exists when a reasonable person would be unable to adequately cope with the mental stress caused </w:t>
      </w:r>
      <w:r w:rsidR="007C7194" w:rsidRPr="00A96153">
        <w:rPr>
          <w:sz w:val="28"/>
          <w:szCs w:val="28"/>
        </w:rPr>
        <w:t xml:space="preserve">by the circumstances. </w:t>
      </w:r>
      <w:r w:rsidRPr="00A96153">
        <w:rPr>
          <w:sz w:val="28"/>
          <w:szCs w:val="28"/>
        </w:rPr>
        <w:t xml:space="preserve">Examples include neuroses, </w:t>
      </w:r>
      <w:hyperlink r:id="rId8" w:history="1">
        <w:r w:rsidRPr="00A96153">
          <w:rPr>
            <w:sz w:val="28"/>
            <w:szCs w:val="28"/>
          </w:rPr>
          <w:t>psychoses</w:t>
        </w:r>
      </w:hyperlink>
      <w:r w:rsidRPr="00A96153">
        <w:rPr>
          <w:sz w:val="28"/>
          <w:szCs w:val="28"/>
        </w:rPr>
        <w:t>, chronic depression, phobia, post</w:t>
      </w:r>
      <w:r w:rsidR="00683B61" w:rsidRPr="00A96153">
        <w:rPr>
          <w:sz w:val="28"/>
          <w:szCs w:val="28"/>
        </w:rPr>
        <w:t>-</w:t>
      </w:r>
      <w:r w:rsidRPr="00A96153">
        <w:rPr>
          <w:sz w:val="28"/>
          <w:szCs w:val="28"/>
        </w:rPr>
        <w:t>traumatic stress disorder, and shock.  But temporary fr</w:t>
      </w:r>
      <w:r w:rsidR="007C7194" w:rsidRPr="00A96153">
        <w:rPr>
          <w:sz w:val="28"/>
          <w:szCs w:val="28"/>
        </w:rPr>
        <w:t xml:space="preserve">ight, disappointment, or regret </w:t>
      </w:r>
      <w:r w:rsidRPr="00A96153">
        <w:rPr>
          <w:sz w:val="28"/>
          <w:szCs w:val="28"/>
        </w:rPr>
        <w:t>do not qualify as severe emotional distress.</w:t>
      </w:r>
    </w:p>
    <w:p w14:paraId="4371EDBE" w14:textId="77777777" w:rsidR="006F2C86" w:rsidRDefault="006F2C86" w:rsidP="006F2C86">
      <w:pPr>
        <w:widowControl w:val="0"/>
        <w:autoSpaceDE w:val="0"/>
        <w:autoSpaceDN w:val="0"/>
        <w:adjustRightInd w:val="0"/>
        <w:rPr>
          <w:sz w:val="26"/>
        </w:rPr>
      </w:pPr>
    </w:p>
    <w:p w14:paraId="7DDA39B0" w14:textId="77777777" w:rsidR="006F2C86" w:rsidRPr="00A96153" w:rsidRDefault="006F2C86" w:rsidP="009C7021">
      <w:pPr>
        <w:jc w:val="center"/>
        <w:outlineLvl w:val="0"/>
        <w:rPr>
          <w:b/>
          <w:sz w:val="28"/>
          <w:szCs w:val="28"/>
          <w:u w:val="single"/>
        </w:rPr>
      </w:pPr>
      <w:r w:rsidRPr="00A96153">
        <w:rPr>
          <w:b/>
          <w:sz w:val="28"/>
          <w:szCs w:val="28"/>
          <w:u w:val="single"/>
        </w:rPr>
        <w:t>Use Note</w:t>
      </w:r>
    </w:p>
    <w:p w14:paraId="37E41178" w14:textId="77777777" w:rsidR="006F2C86" w:rsidRPr="00A96153" w:rsidRDefault="006F2C86" w:rsidP="006F2C86">
      <w:pPr>
        <w:jc w:val="center"/>
        <w:rPr>
          <w:sz w:val="28"/>
          <w:szCs w:val="28"/>
        </w:rPr>
      </w:pPr>
    </w:p>
    <w:p w14:paraId="437EFE3D" w14:textId="4B767B24" w:rsidR="006F2C86" w:rsidRPr="00A96153" w:rsidRDefault="002F14A9" w:rsidP="00706E18">
      <w:pPr>
        <w:widowControl w:val="0"/>
        <w:autoSpaceDE w:val="0"/>
        <w:autoSpaceDN w:val="0"/>
        <w:adjustRightInd w:val="0"/>
        <w:jc w:val="both"/>
        <w:rPr>
          <w:sz w:val="28"/>
          <w:szCs w:val="28"/>
        </w:rPr>
      </w:pPr>
      <w:r w:rsidRPr="00A96153">
        <w:rPr>
          <w:sz w:val="28"/>
          <w:szCs w:val="28"/>
        </w:rPr>
        <w:t xml:space="preserve">Instruction 3.07 (Substantial Factor) </w:t>
      </w:r>
      <w:r w:rsidR="006F2C86" w:rsidRPr="00A96153">
        <w:rPr>
          <w:sz w:val="28"/>
          <w:szCs w:val="28"/>
        </w:rPr>
        <w:t>should be given together with this instruction</w:t>
      </w:r>
      <w:r w:rsidRPr="00A96153">
        <w:rPr>
          <w:sz w:val="28"/>
          <w:szCs w:val="28"/>
        </w:rPr>
        <w:t>.</w:t>
      </w:r>
    </w:p>
    <w:p w14:paraId="79EC353C" w14:textId="77777777" w:rsidR="006F2C86" w:rsidRPr="00A96153" w:rsidRDefault="006F2C86" w:rsidP="006F2C86">
      <w:pPr>
        <w:jc w:val="center"/>
        <w:rPr>
          <w:sz w:val="28"/>
          <w:szCs w:val="28"/>
        </w:rPr>
      </w:pPr>
    </w:p>
    <w:p w14:paraId="75C33F25" w14:textId="77777777" w:rsidR="006F2C86" w:rsidRPr="00A96153" w:rsidRDefault="006F2C86" w:rsidP="009C7021">
      <w:pPr>
        <w:jc w:val="center"/>
        <w:outlineLvl w:val="0"/>
        <w:rPr>
          <w:b/>
          <w:sz w:val="28"/>
          <w:szCs w:val="28"/>
          <w:u w:val="single"/>
        </w:rPr>
      </w:pPr>
      <w:r w:rsidRPr="00A96153">
        <w:rPr>
          <w:b/>
          <w:sz w:val="28"/>
          <w:szCs w:val="28"/>
          <w:u w:val="single"/>
        </w:rPr>
        <w:t>Comment</w:t>
      </w:r>
    </w:p>
    <w:p w14:paraId="5E5A747D" w14:textId="77777777" w:rsidR="006F2C86" w:rsidRPr="00A96153" w:rsidRDefault="006F2C86" w:rsidP="006F2C86">
      <w:pPr>
        <w:widowControl w:val="0"/>
        <w:autoSpaceDE w:val="0"/>
        <w:autoSpaceDN w:val="0"/>
        <w:adjustRightInd w:val="0"/>
        <w:rPr>
          <w:sz w:val="28"/>
          <w:szCs w:val="28"/>
        </w:rPr>
      </w:pPr>
    </w:p>
    <w:p w14:paraId="4F33B79A" w14:textId="5E79EA32" w:rsidR="006F2C86" w:rsidRPr="00A96153" w:rsidRDefault="006F2C86" w:rsidP="00706E18">
      <w:pPr>
        <w:widowControl w:val="0"/>
        <w:autoSpaceDE w:val="0"/>
        <w:autoSpaceDN w:val="0"/>
        <w:adjustRightInd w:val="0"/>
        <w:jc w:val="both"/>
        <w:rPr>
          <w:sz w:val="28"/>
          <w:szCs w:val="28"/>
        </w:rPr>
      </w:pPr>
      <w:r w:rsidRPr="00A96153">
        <w:rPr>
          <w:sz w:val="28"/>
          <w:szCs w:val="28"/>
        </w:rPr>
        <w:t xml:space="preserve">Alaska law requires the court to make a threshold determination as to the first and third elements (outrageousness of the conduct, and severity of the emotional distress) to determine whether “the severity of the emotional distress and the conduct of the offending party warrant an instruction” on IIED. </w:t>
      </w:r>
      <w:proofErr w:type="spellStart"/>
      <w:r w:rsidRPr="00A96153">
        <w:rPr>
          <w:i/>
          <w:sz w:val="28"/>
          <w:szCs w:val="28"/>
        </w:rPr>
        <w:t>Chizmar</w:t>
      </w:r>
      <w:proofErr w:type="spellEnd"/>
      <w:r w:rsidRPr="00A96153">
        <w:rPr>
          <w:i/>
          <w:sz w:val="28"/>
          <w:szCs w:val="28"/>
        </w:rPr>
        <w:t xml:space="preserve"> v. Mackie</w:t>
      </w:r>
      <w:r w:rsidRPr="00A96153">
        <w:rPr>
          <w:sz w:val="28"/>
          <w:szCs w:val="28"/>
        </w:rPr>
        <w:t xml:space="preserve">, 896 P.2d 196, 208-09 (Alaska 1995); </w:t>
      </w:r>
      <w:r w:rsidRPr="00A96153">
        <w:rPr>
          <w:i/>
          <w:sz w:val="28"/>
          <w:szCs w:val="28"/>
        </w:rPr>
        <w:t xml:space="preserve">see also Finch v. </w:t>
      </w:r>
      <w:proofErr w:type="spellStart"/>
      <w:r w:rsidRPr="00A96153">
        <w:rPr>
          <w:i/>
          <w:sz w:val="28"/>
          <w:szCs w:val="28"/>
        </w:rPr>
        <w:t>Greatland</w:t>
      </w:r>
      <w:proofErr w:type="spellEnd"/>
      <w:r w:rsidRPr="00A96153">
        <w:rPr>
          <w:i/>
          <w:sz w:val="28"/>
          <w:szCs w:val="28"/>
        </w:rPr>
        <w:t xml:space="preserve"> Foods, Inc</w:t>
      </w:r>
      <w:r w:rsidRPr="00A96153">
        <w:rPr>
          <w:sz w:val="28"/>
          <w:szCs w:val="28"/>
        </w:rPr>
        <w:t xml:space="preserve">., 21 P.3d 1282, 1289-90 (Alaska 2001). Where “reasonable jurors could </w:t>
      </w:r>
      <w:r w:rsidR="00683B61" w:rsidRPr="00A96153">
        <w:rPr>
          <w:sz w:val="28"/>
          <w:szCs w:val="28"/>
        </w:rPr>
        <w:t>differ as to whether the evidence adduced at trial</w:t>
      </w:r>
      <w:r w:rsidRPr="00A96153">
        <w:rPr>
          <w:sz w:val="28"/>
          <w:szCs w:val="28"/>
        </w:rPr>
        <w:t xml:space="preserve"> would satisfy these elements,” the case </w:t>
      </w:r>
      <w:r w:rsidR="00683B61" w:rsidRPr="00A96153">
        <w:rPr>
          <w:sz w:val="28"/>
          <w:szCs w:val="28"/>
        </w:rPr>
        <w:t>must</w:t>
      </w:r>
      <w:r w:rsidRPr="00A96153">
        <w:rPr>
          <w:sz w:val="28"/>
          <w:szCs w:val="28"/>
        </w:rPr>
        <w:t xml:space="preserve"> go to the jury. </w:t>
      </w:r>
      <w:proofErr w:type="spellStart"/>
      <w:r w:rsidR="00BD7198" w:rsidRPr="00A96153">
        <w:rPr>
          <w:i/>
          <w:sz w:val="28"/>
          <w:szCs w:val="28"/>
        </w:rPr>
        <w:t>Chizmar</w:t>
      </w:r>
      <w:proofErr w:type="spellEnd"/>
      <w:r w:rsidR="007725C8" w:rsidRPr="00A96153">
        <w:rPr>
          <w:sz w:val="28"/>
          <w:szCs w:val="28"/>
        </w:rPr>
        <w:t xml:space="preserve">, </w:t>
      </w:r>
      <w:proofErr w:type="gramStart"/>
      <w:r w:rsidR="007725C8" w:rsidRPr="00A96153">
        <w:rPr>
          <w:sz w:val="28"/>
          <w:szCs w:val="28"/>
        </w:rPr>
        <w:t xml:space="preserve">896 P.2d at </w:t>
      </w:r>
      <w:r w:rsidR="00683B61" w:rsidRPr="00A96153">
        <w:rPr>
          <w:sz w:val="28"/>
          <w:szCs w:val="28"/>
        </w:rPr>
        <w:t>208</w:t>
      </w:r>
      <w:proofErr w:type="gramEnd"/>
      <w:r w:rsidR="00683B61" w:rsidRPr="00A96153">
        <w:rPr>
          <w:sz w:val="28"/>
          <w:szCs w:val="28"/>
        </w:rPr>
        <w:t>.</w:t>
      </w:r>
    </w:p>
    <w:p w14:paraId="5ED850FB" w14:textId="77777777" w:rsidR="0015646C" w:rsidRPr="00A96153" w:rsidRDefault="0015646C" w:rsidP="00706E18">
      <w:pPr>
        <w:widowControl w:val="0"/>
        <w:autoSpaceDE w:val="0"/>
        <w:autoSpaceDN w:val="0"/>
        <w:adjustRightInd w:val="0"/>
        <w:jc w:val="both"/>
        <w:rPr>
          <w:sz w:val="28"/>
          <w:szCs w:val="28"/>
        </w:rPr>
      </w:pPr>
    </w:p>
    <w:p w14:paraId="2BA78AD8" w14:textId="14B0BDF5" w:rsidR="0015646C" w:rsidRPr="00A96153" w:rsidRDefault="00647091" w:rsidP="00706E18">
      <w:pPr>
        <w:widowControl w:val="0"/>
        <w:autoSpaceDE w:val="0"/>
        <w:autoSpaceDN w:val="0"/>
        <w:adjustRightInd w:val="0"/>
        <w:jc w:val="both"/>
        <w:rPr>
          <w:sz w:val="28"/>
          <w:szCs w:val="28"/>
        </w:rPr>
      </w:pPr>
      <w:r w:rsidRPr="00A96153">
        <w:rPr>
          <w:sz w:val="28"/>
          <w:szCs w:val="28"/>
        </w:rPr>
        <w:t>The language</w:t>
      </w:r>
      <w:r w:rsidR="0015646C" w:rsidRPr="00A96153">
        <w:rPr>
          <w:sz w:val="28"/>
          <w:szCs w:val="28"/>
        </w:rPr>
        <w:t xml:space="preserve"> defining “severe emotional distress” </w:t>
      </w:r>
      <w:r w:rsidRPr="00A96153">
        <w:rPr>
          <w:sz w:val="28"/>
          <w:szCs w:val="28"/>
        </w:rPr>
        <w:t xml:space="preserve">is taken from </w:t>
      </w:r>
      <w:proofErr w:type="spellStart"/>
      <w:r w:rsidRPr="00A96153">
        <w:rPr>
          <w:i/>
          <w:sz w:val="28"/>
          <w:szCs w:val="28"/>
        </w:rPr>
        <w:t>Sowinski</w:t>
      </w:r>
      <w:proofErr w:type="spellEnd"/>
      <w:r w:rsidRPr="00A96153">
        <w:rPr>
          <w:i/>
          <w:sz w:val="28"/>
          <w:szCs w:val="28"/>
        </w:rPr>
        <w:t xml:space="preserve"> v. Walker</w:t>
      </w:r>
      <w:r w:rsidRPr="00A96153">
        <w:rPr>
          <w:sz w:val="28"/>
          <w:szCs w:val="28"/>
        </w:rPr>
        <w:t>, 198 P.3d 1134, 1166 (Alaska 2008), in which the Alaska Supreme Court affirmed a very similar instruction.</w:t>
      </w:r>
    </w:p>
    <w:p w14:paraId="0E1760C5" w14:textId="77777777" w:rsidR="006F2C86" w:rsidRPr="00A96153" w:rsidRDefault="006F2C86" w:rsidP="00706E18">
      <w:pPr>
        <w:jc w:val="both"/>
        <w:rPr>
          <w:sz w:val="28"/>
          <w:szCs w:val="28"/>
        </w:rPr>
      </w:pPr>
    </w:p>
    <w:p w14:paraId="330D206E" w14:textId="78E1ABF5" w:rsidR="00090C2D" w:rsidRPr="00A96153" w:rsidRDefault="00090C2D" w:rsidP="00706E18">
      <w:pPr>
        <w:widowControl w:val="0"/>
        <w:autoSpaceDE w:val="0"/>
        <w:autoSpaceDN w:val="0"/>
        <w:adjustRightInd w:val="0"/>
        <w:jc w:val="both"/>
        <w:rPr>
          <w:sz w:val="28"/>
          <w:szCs w:val="28"/>
        </w:rPr>
      </w:pPr>
      <w:r w:rsidRPr="00A96153">
        <w:rPr>
          <w:sz w:val="28"/>
          <w:szCs w:val="28"/>
        </w:rPr>
        <w:t xml:space="preserve">Although Comment j to Restatement (Third) of Torts § 46 suggests that there may be a difference between “serious emotional </w:t>
      </w:r>
      <w:r w:rsidR="005159E6" w:rsidRPr="00A96153">
        <w:rPr>
          <w:sz w:val="28"/>
          <w:szCs w:val="28"/>
        </w:rPr>
        <w:t>distress</w:t>
      </w:r>
      <w:r w:rsidRPr="00A96153">
        <w:rPr>
          <w:sz w:val="28"/>
          <w:szCs w:val="28"/>
        </w:rPr>
        <w:t>” and “</w:t>
      </w:r>
      <w:r w:rsidR="002120EC" w:rsidRPr="00A96153">
        <w:rPr>
          <w:sz w:val="28"/>
          <w:szCs w:val="28"/>
        </w:rPr>
        <w:t xml:space="preserve">severe </w:t>
      </w:r>
      <w:r w:rsidRPr="00A96153">
        <w:rPr>
          <w:sz w:val="28"/>
          <w:szCs w:val="28"/>
        </w:rPr>
        <w:t xml:space="preserve">emotional </w:t>
      </w:r>
      <w:r w:rsidR="005159E6" w:rsidRPr="00A96153">
        <w:rPr>
          <w:sz w:val="28"/>
          <w:szCs w:val="28"/>
        </w:rPr>
        <w:t>distress</w:t>
      </w:r>
      <w:r w:rsidRPr="00A96153">
        <w:rPr>
          <w:sz w:val="28"/>
          <w:szCs w:val="28"/>
        </w:rPr>
        <w:t xml:space="preserve">,” the Alaska Supreme Court uses the terms interchangeably. </w:t>
      </w:r>
      <w:r w:rsidRPr="00A96153">
        <w:rPr>
          <w:i/>
          <w:sz w:val="28"/>
          <w:szCs w:val="28"/>
        </w:rPr>
        <w:t>Fyffe v. Wright</w:t>
      </w:r>
      <w:r w:rsidRPr="00A96153">
        <w:rPr>
          <w:sz w:val="28"/>
          <w:szCs w:val="28"/>
        </w:rPr>
        <w:t>, 93 P.3d 444, 456 n.34 (Alaska 2004)</w:t>
      </w:r>
      <w:r w:rsidR="005159E6" w:rsidRPr="00A96153">
        <w:rPr>
          <w:sz w:val="28"/>
          <w:szCs w:val="28"/>
        </w:rPr>
        <w:t xml:space="preserve">, </w:t>
      </w:r>
      <w:r w:rsidR="005159E6" w:rsidRPr="00A96153">
        <w:rPr>
          <w:i/>
          <w:iCs/>
          <w:sz w:val="28"/>
          <w:szCs w:val="28"/>
        </w:rPr>
        <w:t>partially disavowed on other grounds by Burton v. Fountainhead Dev., Inc.</w:t>
      </w:r>
      <w:r w:rsidR="005159E6" w:rsidRPr="00A96153">
        <w:rPr>
          <w:sz w:val="28"/>
          <w:szCs w:val="28"/>
        </w:rPr>
        <w:t xml:space="preserve">, </w:t>
      </w:r>
      <w:proofErr w:type="gramStart"/>
      <w:r w:rsidR="005159E6" w:rsidRPr="00A96153">
        <w:rPr>
          <w:sz w:val="28"/>
          <w:szCs w:val="28"/>
        </w:rPr>
        <w:t>393</w:t>
      </w:r>
      <w:proofErr w:type="gramEnd"/>
      <w:r w:rsidR="005159E6" w:rsidRPr="00A96153">
        <w:rPr>
          <w:sz w:val="28"/>
          <w:szCs w:val="28"/>
        </w:rPr>
        <w:t xml:space="preserve"> P.3d 387, 392-93 &amp; n.20 (Alaska 2017)</w:t>
      </w:r>
      <w:r w:rsidRPr="00A96153">
        <w:rPr>
          <w:sz w:val="28"/>
          <w:szCs w:val="28"/>
        </w:rPr>
        <w:t>.</w:t>
      </w:r>
    </w:p>
    <w:sectPr w:rsidR="00090C2D" w:rsidRPr="00A96153" w:rsidSect="00A96153">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40FBC" w14:textId="77777777" w:rsidR="007E467A" w:rsidRDefault="007E467A" w:rsidP="00A96153">
      <w:r>
        <w:separator/>
      </w:r>
    </w:p>
  </w:endnote>
  <w:endnote w:type="continuationSeparator" w:id="0">
    <w:p w14:paraId="44734CD5" w14:textId="77777777" w:rsidR="007E467A" w:rsidRDefault="007E467A" w:rsidP="00A96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1A0990" w14:textId="77777777" w:rsidR="00917B13" w:rsidRDefault="00917B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960851"/>
      <w:docPartObj>
        <w:docPartGallery w:val="Page Numbers (Bottom of Page)"/>
        <w:docPartUnique/>
      </w:docPartObj>
    </w:sdtPr>
    <w:sdtEndPr/>
    <w:sdtContent>
      <w:sdt>
        <w:sdtPr>
          <w:id w:val="98381352"/>
          <w:docPartObj>
            <w:docPartGallery w:val="Page Numbers (Top of Page)"/>
            <w:docPartUnique/>
          </w:docPartObj>
        </w:sdtPr>
        <w:sdtEndPr/>
        <w:sdtContent>
          <w:p w14:paraId="73BD198B" w14:textId="5FCCD2E7" w:rsidR="00A96153" w:rsidRDefault="0020797C" w:rsidP="0020797C">
            <w:pPr>
              <w:pStyle w:val="Footer"/>
            </w:pPr>
            <w:r>
              <w:t>Added 2019</w:t>
            </w:r>
            <w:r>
              <w:tab/>
            </w:r>
            <w:r>
              <w:tab/>
            </w:r>
            <w:r w:rsidR="00A96153">
              <w:rPr>
                <w:sz w:val="22"/>
                <w:szCs w:val="22"/>
              </w:rPr>
              <w:t xml:space="preserve">3.16 - </w:t>
            </w:r>
            <w:r w:rsidR="00A96153" w:rsidRPr="00A96153">
              <w:rPr>
                <w:sz w:val="22"/>
                <w:szCs w:val="22"/>
              </w:rPr>
              <w:t xml:space="preserve">Page </w:t>
            </w:r>
            <w:r w:rsidR="00A96153" w:rsidRPr="00A96153">
              <w:rPr>
                <w:bCs/>
                <w:sz w:val="22"/>
                <w:szCs w:val="22"/>
              </w:rPr>
              <w:fldChar w:fldCharType="begin"/>
            </w:r>
            <w:r w:rsidR="00A96153" w:rsidRPr="00A96153">
              <w:rPr>
                <w:bCs/>
                <w:sz w:val="22"/>
                <w:szCs w:val="22"/>
              </w:rPr>
              <w:instrText xml:space="preserve"> PAGE </w:instrText>
            </w:r>
            <w:r w:rsidR="00A96153" w:rsidRPr="00A96153">
              <w:rPr>
                <w:bCs/>
                <w:sz w:val="22"/>
                <w:szCs w:val="22"/>
              </w:rPr>
              <w:fldChar w:fldCharType="separate"/>
            </w:r>
            <w:r w:rsidR="00D100D5">
              <w:rPr>
                <w:bCs/>
                <w:noProof/>
                <w:sz w:val="22"/>
                <w:szCs w:val="22"/>
              </w:rPr>
              <w:t>1</w:t>
            </w:r>
            <w:r w:rsidR="00A96153" w:rsidRPr="00A96153">
              <w:rPr>
                <w:bCs/>
                <w:sz w:val="22"/>
                <w:szCs w:val="22"/>
              </w:rPr>
              <w:fldChar w:fldCharType="end"/>
            </w:r>
            <w:r w:rsidR="00A96153" w:rsidRPr="00A96153">
              <w:rPr>
                <w:sz w:val="22"/>
                <w:szCs w:val="22"/>
              </w:rPr>
              <w:t xml:space="preserve"> of </w:t>
            </w:r>
            <w:r w:rsidR="00A96153" w:rsidRPr="00A96153">
              <w:rPr>
                <w:bCs/>
                <w:sz w:val="22"/>
                <w:szCs w:val="22"/>
              </w:rPr>
              <w:fldChar w:fldCharType="begin"/>
            </w:r>
            <w:r w:rsidR="00A96153" w:rsidRPr="00A96153">
              <w:rPr>
                <w:bCs/>
                <w:sz w:val="22"/>
                <w:szCs w:val="22"/>
              </w:rPr>
              <w:instrText xml:space="preserve"> NUMPAGES  </w:instrText>
            </w:r>
            <w:r w:rsidR="00A96153" w:rsidRPr="00A96153">
              <w:rPr>
                <w:bCs/>
                <w:sz w:val="22"/>
                <w:szCs w:val="22"/>
              </w:rPr>
              <w:fldChar w:fldCharType="separate"/>
            </w:r>
            <w:r w:rsidR="00D100D5">
              <w:rPr>
                <w:bCs/>
                <w:noProof/>
                <w:sz w:val="22"/>
                <w:szCs w:val="22"/>
              </w:rPr>
              <w:t>2</w:t>
            </w:r>
            <w:r w:rsidR="00A96153" w:rsidRPr="00A96153">
              <w:rPr>
                <w:bCs/>
                <w:sz w:val="22"/>
                <w:szCs w:val="22"/>
              </w:rPr>
              <w:fldChar w:fldCharType="end"/>
            </w:r>
          </w:p>
        </w:sdtContent>
      </w:sdt>
    </w:sdtContent>
  </w:sdt>
  <w:p w14:paraId="6F33D737" w14:textId="4436573A" w:rsidR="00A96153" w:rsidRPr="00A96153" w:rsidRDefault="00A96153" w:rsidP="00A96153">
    <w:pPr>
      <w:pStyle w:val="Footer"/>
      <w:jc w:val="right"/>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B0BFD" w14:textId="77777777" w:rsidR="00917B13" w:rsidRDefault="00917B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2C13C1" w14:textId="77777777" w:rsidR="007E467A" w:rsidRDefault="007E467A" w:rsidP="00A96153">
      <w:r>
        <w:separator/>
      </w:r>
    </w:p>
  </w:footnote>
  <w:footnote w:type="continuationSeparator" w:id="0">
    <w:p w14:paraId="69DAC6B4" w14:textId="77777777" w:rsidR="007E467A" w:rsidRDefault="007E467A" w:rsidP="00A96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533182" w14:textId="77777777" w:rsidR="00917B13" w:rsidRDefault="00917B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1AE79C" w14:textId="77777777" w:rsidR="00917B13" w:rsidRDefault="00917B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076D9" w14:textId="77777777" w:rsidR="00917B13" w:rsidRDefault="00917B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3ECA4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7F313DB"/>
    <w:multiLevelType w:val="hybridMultilevel"/>
    <w:tmpl w:val="EB081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153D17"/>
    <w:multiLevelType w:val="singleLevel"/>
    <w:tmpl w:val="A89E2DF2"/>
    <w:lvl w:ilvl="0">
      <w:start w:val="2"/>
      <w:numFmt w:val="decimal"/>
      <w:lvlText w:val="%1."/>
      <w:lvlJc w:val="left"/>
      <w:pPr>
        <w:tabs>
          <w:tab w:val="num" w:pos="2160"/>
        </w:tabs>
        <w:ind w:left="2160" w:hanging="720"/>
      </w:pPr>
      <w:rPr>
        <w:rFont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k, Jim (ANC)">
    <w15:presenceInfo w15:providerId="AD" w15:userId="S::JLeik@perkinscoie.com::55e93035-3fad-400e-8d2f-588d0d039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D1"/>
    <w:rsid w:val="00011D35"/>
    <w:rsid w:val="000777BB"/>
    <w:rsid w:val="00090C2D"/>
    <w:rsid w:val="0009458C"/>
    <w:rsid w:val="00096CEA"/>
    <w:rsid w:val="000E6D29"/>
    <w:rsid w:val="00134B92"/>
    <w:rsid w:val="00147830"/>
    <w:rsid w:val="0015646C"/>
    <w:rsid w:val="00174811"/>
    <w:rsid w:val="001B2E12"/>
    <w:rsid w:val="0020797C"/>
    <w:rsid w:val="002120EC"/>
    <w:rsid w:val="002F14A9"/>
    <w:rsid w:val="00386F42"/>
    <w:rsid w:val="003E56C1"/>
    <w:rsid w:val="003F56A2"/>
    <w:rsid w:val="004C144E"/>
    <w:rsid w:val="005159E6"/>
    <w:rsid w:val="00571E8A"/>
    <w:rsid w:val="00644264"/>
    <w:rsid w:val="00647091"/>
    <w:rsid w:val="00683B61"/>
    <w:rsid w:val="006F2C86"/>
    <w:rsid w:val="00706E18"/>
    <w:rsid w:val="00730511"/>
    <w:rsid w:val="007725C8"/>
    <w:rsid w:val="007A43E7"/>
    <w:rsid w:val="007C7194"/>
    <w:rsid w:val="007E467A"/>
    <w:rsid w:val="00842B21"/>
    <w:rsid w:val="00885779"/>
    <w:rsid w:val="008877B2"/>
    <w:rsid w:val="00917B13"/>
    <w:rsid w:val="00932C6C"/>
    <w:rsid w:val="009C7021"/>
    <w:rsid w:val="00A0541A"/>
    <w:rsid w:val="00A356B6"/>
    <w:rsid w:val="00A96153"/>
    <w:rsid w:val="00B56855"/>
    <w:rsid w:val="00B97728"/>
    <w:rsid w:val="00BD7198"/>
    <w:rsid w:val="00D100D5"/>
    <w:rsid w:val="00D277D1"/>
    <w:rsid w:val="00DE6640"/>
    <w:rsid w:val="00DF7DE0"/>
    <w:rsid w:val="00E43627"/>
    <w:rsid w:val="00E97A51"/>
    <w:rsid w:val="00FD0C4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5A69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D1"/>
    <w:rPr>
      <w:rFonts w:ascii="Times New Roman" w:eastAsia="Times New Roman" w:hAnsi="Times New Roman"/>
    </w:rPr>
  </w:style>
  <w:style w:type="paragraph" w:styleId="Heading1">
    <w:name w:val="heading 1"/>
    <w:basedOn w:val="Normal"/>
    <w:next w:val="Normal"/>
    <w:link w:val="Heading1Char"/>
    <w:qFormat/>
    <w:rsid w:val="00D277D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jc w:val="center"/>
      <w:outlineLvl w:val="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77D1"/>
    <w:rPr>
      <w:rFonts w:ascii="Times New Roman" w:eastAsia="Times New Roman" w:hAnsi="Times New Roman" w:cs="Times New Roman"/>
      <w:sz w:val="26"/>
      <w:szCs w:val="20"/>
    </w:rPr>
  </w:style>
  <w:style w:type="paragraph" w:styleId="BodyText">
    <w:name w:val="Body Text"/>
    <w:basedOn w:val="Normal"/>
    <w:link w:val="BodyTextChar"/>
    <w:semiHidden/>
    <w:rsid w:val="00D277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jc w:val="both"/>
    </w:pPr>
    <w:rPr>
      <w:sz w:val="26"/>
    </w:rPr>
  </w:style>
  <w:style w:type="character" w:customStyle="1" w:styleId="BodyTextChar">
    <w:name w:val="Body Text Char"/>
    <w:link w:val="BodyText"/>
    <w:semiHidden/>
    <w:rsid w:val="00D277D1"/>
    <w:rPr>
      <w:rFonts w:ascii="Times New Roman" w:eastAsia="Times New Roman" w:hAnsi="Times New Roman" w:cs="Times New Roman"/>
      <w:sz w:val="26"/>
      <w:szCs w:val="20"/>
    </w:rPr>
  </w:style>
  <w:style w:type="character" w:customStyle="1" w:styleId="cohl">
    <w:name w:val="co_hl"/>
    <w:basedOn w:val="DefaultParagraphFont"/>
    <w:rsid w:val="00D277D1"/>
  </w:style>
  <w:style w:type="paragraph" w:styleId="BalloonText">
    <w:name w:val="Balloon Text"/>
    <w:basedOn w:val="Normal"/>
    <w:link w:val="BalloonTextChar"/>
    <w:rsid w:val="00A356B6"/>
    <w:rPr>
      <w:sz w:val="18"/>
      <w:szCs w:val="18"/>
    </w:rPr>
  </w:style>
  <w:style w:type="character" w:customStyle="1" w:styleId="BalloonTextChar">
    <w:name w:val="Balloon Text Char"/>
    <w:link w:val="BalloonText"/>
    <w:rsid w:val="00A356B6"/>
    <w:rPr>
      <w:rFonts w:ascii="Times New Roman" w:eastAsia="Times New Roman" w:hAnsi="Times New Roman"/>
      <w:sz w:val="18"/>
      <w:szCs w:val="18"/>
    </w:rPr>
  </w:style>
  <w:style w:type="paragraph" w:styleId="DocumentMap">
    <w:name w:val="Document Map"/>
    <w:basedOn w:val="Normal"/>
    <w:link w:val="DocumentMapChar"/>
    <w:rsid w:val="009C7021"/>
    <w:rPr>
      <w:sz w:val="24"/>
      <w:szCs w:val="24"/>
    </w:rPr>
  </w:style>
  <w:style w:type="character" w:customStyle="1" w:styleId="DocumentMapChar">
    <w:name w:val="Document Map Char"/>
    <w:basedOn w:val="DefaultParagraphFont"/>
    <w:link w:val="DocumentMap"/>
    <w:rsid w:val="009C7021"/>
    <w:rPr>
      <w:rFonts w:ascii="Times New Roman" w:eastAsia="Times New Roman" w:hAnsi="Times New Roman"/>
      <w:sz w:val="24"/>
      <w:szCs w:val="24"/>
    </w:rPr>
  </w:style>
  <w:style w:type="paragraph" w:styleId="Revision">
    <w:name w:val="Revision"/>
    <w:hidden/>
    <w:rsid w:val="009C7021"/>
    <w:rPr>
      <w:rFonts w:ascii="Times New Roman" w:eastAsia="Times New Roman" w:hAnsi="Times New Roman"/>
    </w:rPr>
  </w:style>
  <w:style w:type="paragraph" w:styleId="ListParagraph">
    <w:name w:val="List Paragraph"/>
    <w:basedOn w:val="Normal"/>
    <w:rsid w:val="001B2E12"/>
    <w:pPr>
      <w:ind w:left="720"/>
      <w:contextualSpacing/>
    </w:pPr>
  </w:style>
  <w:style w:type="paragraph" w:styleId="Header">
    <w:name w:val="header"/>
    <w:basedOn w:val="Normal"/>
    <w:link w:val="HeaderChar"/>
    <w:unhideWhenUsed/>
    <w:rsid w:val="00A96153"/>
    <w:pPr>
      <w:tabs>
        <w:tab w:val="center" w:pos="4680"/>
        <w:tab w:val="right" w:pos="9360"/>
      </w:tabs>
    </w:pPr>
  </w:style>
  <w:style w:type="character" w:customStyle="1" w:styleId="HeaderChar">
    <w:name w:val="Header Char"/>
    <w:basedOn w:val="DefaultParagraphFont"/>
    <w:link w:val="Header"/>
    <w:rsid w:val="00A96153"/>
    <w:rPr>
      <w:rFonts w:ascii="Times New Roman" w:eastAsia="Times New Roman" w:hAnsi="Times New Roman"/>
    </w:rPr>
  </w:style>
  <w:style w:type="paragraph" w:styleId="Footer">
    <w:name w:val="footer"/>
    <w:basedOn w:val="Normal"/>
    <w:link w:val="FooterChar"/>
    <w:uiPriority w:val="99"/>
    <w:unhideWhenUsed/>
    <w:rsid w:val="00A96153"/>
    <w:pPr>
      <w:tabs>
        <w:tab w:val="center" w:pos="4680"/>
        <w:tab w:val="right" w:pos="9360"/>
      </w:tabs>
    </w:pPr>
  </w:style>
  <w:style w:type="character" w:customStyle="1" w:styleId="FooterChar">
    <w:name w:val="Footer Char"/>
    <w:basedOn w:val="DefaultParagraphFont"/>
    <w:link w:val="Footer"/>
    <w:uiPriority w:val="99"/>
    <w:rsid w:val="00A961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7D1"/>
    <w:rPr>
      <w:rFonts w:ascii="Times New Roman" w:eastAsia="Times New Roman" w:hAnsi="Times New Roman"/>
    </w:rPr>
  </w:style>
  <w:style w:type="paragraph" w:styleId="Heading1">
    <w:name w:val="heading 1"/>
    <w:basedOn w:val="Normal"/>
    <w:next w:val="Normal"/>
    <w:link w:val="Heading1Char"/>
    <w:qFormat/>
    <w:rsid w:val="00D277D1"/>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jc w:val="center"/>
      <w:outlineLvl w:val="0"/>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277D1"/>
    <w:rPr>
      <w:rFonts w:ascii="Times New Roman" w:eastAsia="Times New Roman" w:hAnsi="Times New Roman" w:cs="Times New Roman"/>
      <w:sz w:val="26"/>
      <w:szCs w:val="20"/>
    </w:rPr>
  </w:style>
  <w:style w:type="paragraph" w:styleId="BodyText">
    <w:name w:val="Body Text"/>
    <w:basedOn w:val="Normal"/>
    <w:link w:val="BodyTextChar"/>
    <w:semiHidden/>
    <w:rsid w:val="00D277D1"/>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spacing w:line="480" w:lineRule="atLeast"/>
      <w:jc w:val="both"/>
    </w:pPr>
    <w:rPr>
      <w:sz w:val="26"/>
    </w:rPr>
  </w:style>
  <w:style w:type="character" w:customStyle="1" w:styleId="BodyTextChar">
    <w:name w:val="Body Text Char"/>
    <w:link w:val="BodyText"/>
    <w:semiHidden/>
    <w:rsid w:val="00D277D1"/>
    <w:rPr>
      <w:rFonts w:ascii="Times New Roman" w:eastAsia="Times New Roman" w:hAnsi="Times New Roman" w:cs="Times New Roman"/>
      <w:sz w:val="26"/>
      <w:szCs w:val="20"/>
    </w:rPr>
  </w:style>
  <w:style w:type="character" w:customStyle="1" w:styleId="cohl">
    <w:name w:val="co_hl"/>
    <w:basedOn w:val="DefaultParagraphFont"/>
    <w:rsid w:val="00D277D1"/>
  </w:style>
  <w:style w:type="paragraph" w:styleId="BalloonText">
    <w:name w:val="Balloon Text"/>
    <w:basedOn w:val="Normal"/>
    <w:link w:val="BalloonTextChar"/>
    <w:rsid w:val="00A356B6"/>
    <w:rPr>
      <w:sz w:val="18"/>
      <w:szCs w:val="18"/>
    </w:rPr>
  </w:style>
  <w:style w:type="character" w:customStyle="1" w:styleId="BalloonTextChar">
    <w:name w:val="Balloon Text Char"/>
    <w:link w:val="BalloonText"/>
    <w:rsid w:val="00A356B6"/>
    <w:rPr>
      <w:rFonts w:ascii="Times New Roman" w:eastAsia="Times New Roman" w:hAnsi="Times New Roman"/>
      <w:sz w:val="18"/>
      <w:szCs w:val="18"/>
    </w:rPr>
  </w:style>
  <w:style w:type="paragraph" w:styleId="DocumentMap">
    <w:name w:val="Document Map"/>
    <w:basedOn w:val="Normal"/>
    <w:link w:val="DocumentMapChar"/>
    <w:rsid w:val="009C7021"/>
    <w:rPr>
      <w:sz w:val="24"/>
      <w:szCs w:val="24"/>
    </w:rPr>
  </w:style>
  <w:style w:type="character" w:customStyle="1" w:styleId="DocumentMapChar">
    <w:name w:val="Document Map Char"/>
    <w:basedOn w:val="DefaultParagraphFont"/>
    <w:link w:val="DocumentMap"/>
    <w:rsid w:val="009C7021"/>
    <w:rPr>
      <w:rFonts w:ascii="Times New Roman" w:eastAsia="Times New Roman" w:hAnsi="Times New Roman"/>
      <w:sz w:val="24"/>
      <w:szCs w:val="24"/>
    </w:rPr>
  </w:style>
  <w:style w:type="paragraph" w:styleId="Revision">
    <w:name w:val="Revision"/>
    <w:hidden/>
    <w:rsid w:val="009C7021"/>
    <w:rPr>
      <w:rFonts w:ascii="Times New Roman" w:eastAsia="Times New Roman" w:hAnsi="Times New Roman"/>
    </w:rPr>
  </w:style>
  <w:style w:type="paragraph" w:styleId="ListParagraph">
    <w:name w:val="List Paragraph"/>
    <w:basedOn w:val="Normal"/>
    <w:rsid w:val="001B2E12"/>
    <w:pPr>
      <w:ind w:left="720"/>
      <w:contextualSpacing/>
    </w:pPr>
  </w:style>
  <w:style w:type="paragraph" w:styleId="Header">
    <w:name w:val="header"/>
    <w:basedOn w:val="Normal"/>
    <w:link w:val="HeaderChar"/>
    <w:unhideWhenUsed/>
    <w:rsid w:val="00A96153"/>
    <w:pPr>
      <w:tabs>
        <w:tab w:val="center" w:pos="4680"/>
        <w:tab w:val="right" w:pos="9360"/>
      </w:tabs>
    </w:pPr>
  </w:style>
  <w:style w:type="character" w:customStyle="1" w:styleId="HeaderChar">
    <w:name w:val="Header Char"/>
    <w:basedOn w:val="DefaultParagraphFont"/>
    <w:link w:val="Header"/>
    <w:rsid w:val="00A96153"/>
    <w:rPr>
      <w:rFonts w:ascii="Times New Roman" w:eastAsia="Times New Roman" w:hAnsi="Times New Roman"/>
    </w:rPr>
  </w:style>
  <w:style w:type="paragraph" w:styleId="Footer">
    <w:name w:val="footer"/>
    <w:basedOn w:val="Normal"/>
    <w:link w:val="FooterChar"/>
    <w:uiPriority w:val="99"/>
    <w:unhideWhenUsed/>
    <w:rsid w:val="00A96153"/>
    <w:pPr>
      <w:tabs>
        <w:tab w:val="center" w:pos="4680"/>
        <w:tab w:val="right" w:pos="9360"/>
      </w:tabs>
    </w:pPr>
  </w:style>
  <w:style w:type="character" w:customStyle="1" w:styleId="FooterChar">
    <w:name w:val="Footer Char"/>
    <w:basedOn w:val="DefaultParagraphFont"/>
    <w:link w:val="Footer"/>
    <w:uiPriority w:val="99"/>
    <w:rsid w:val="00A961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entityType=disease&amp;entityId=Ic6c75a10475411db9765f9243f53508a&amp;originationContext=document&amp;transitionType=DocumentItem&amp;contextData=(sc.Default)"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3401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Steinberg</dc:creator>
  <cp:lastModifiedBy>Sanjay Kodidine</cp:lastModifiedBy>
  <cp:revision>2</cp:revision>
  <cp:lastPrinted>2019-11-05T17:33:00Z</cp:lastPrinted>
  <dcterms:created xsi:type="dcterms:W3CDTF">2019-11-12T22:47:00Z</dcterms:created>
  <dcterms:modified xsi:type="dcterms:W3CDTF">2019-11-12T22:47:00Z</dcterms:modified>
</cp:coreProperties>
</file>