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B4" w:rsidRDefault="00F542B4">
      <w:pPr>
        <w:pStyle w:val="BodyText2"/>
        <w:spacing w:line="240" w:lineRule="auto"/>
        <w:ind w:left="1440" w:hanging="1440"/>
      </w:pPr>
      <w:r>
        <w:t>04.01B</w:t>
      </w:r>
      <w:r>
        <w:tab/>
        <w:t>SURVIVAL ACTION — DEFENDANT DECEASED — IDENTITY OF PARTIES</w:t>
      </w:r>
    </w:p>
    <w:p w:rsidR="00F542B4" w:rsidRDefault="00F542B4">
      <w:pPr>
        <w:widowControl w:val="0"/>
        <w:spacing w:line="360" w:lineRule="auto"/>
        <w:jc w:val="both"/>
        <w:rPr>
          <w:rFonts w:ascii="Bookman Old Style" w:hAnsi="Bookman Old Style" w:cs="Bookman Old Style"/>
          <w:snapToGrid w:val="0"/>
          <w:sz w:val="26"/>
          <w:szCs w:val="26"/>
        </w:rPr>
      </w:pPr>
    </w:p>
    <w:p w:rsidR="00F542B4" w:rsidRDefault="00F542B4">
      <w:pPr>
        <w:widowControl w:val="0"/>
        <w:spacing w:line="360" w:lineRule="auto"/>
        <w:jc w:val="both"/>
        <w:rPr>
          <w:rFonts w:ascii="Bookman Old Style" w:hAnsi="Bookman Old Style" w:cs="Bookman Old Style"/>
          <w:snapToGrid w:val="0"/>
          <w:sz w:val="26"/>
          <w:szCs w:val="26"/>
        </w:rPr>
      </w:pPr>
    </w:p>
    <w:p w:rsidR="00F542B4" w:rsidRDefault="00F542B4">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pPr>
      <w:r>
        <w:t>The defend</w:t>
      </w:r>
      <w:bookmarkStart w:id="0" w:name="_GoBack"/>
      <w:bookmarkEnd w:id="0"/>
      <w:r>
        <w:t>ant in this case is the personal representat</w:t>
      </w:r>
      <w:r w:rsidR="00F53C0C">
        <w:t>ive of [decedent]</w:t>
      </w:r>
      <w:r>
        <w:t>, who is deceased.  The law allows the plaintiff to make these claims against the personal representative of the deceased.  You should not be prejudiced for or against, or have any sympathy for or against, either side of this case b</w:t>
      </w:r>
      <w:r w:rsidR="00F53C0C">
        <w:t>ecause [decedent]</w:t>
      </w:r>
      <w:r>
        <w:t xml:space="preserve"> </w:t>
      </w:r>
      <w:r w:rsidR="002352DD">
        <w:t xml:space="preserve">is deceased and </w:t>
      </w:r>
      <w:r>
        <w:t>appears by a personal representative.</w:t>
      </w:r>
    </w:p>
    <w:p w:rsidR="00F542B4" w:rsidRDefault="00F542B4">
      <w:pPr>
        <w:widowControl w:val="0"/>
        <w:spacing w:line="360" w:lineRule="auto"/>
        <w:jc w:val="both"/>
        <w:rPr>
          <w:rFonts w:ascii="Bookman Old Style" w:hAnsi="Bookman Old Style" w:cs="Bookman Old Style"/>
          <w:snapToGrid w:val="0"/>
          <w:sz w:val="26"/>
          <w:szCs w:val="26"/>
        </w:rPr>
      </w:pPr>
    </w:p>
    <w:p w:rsidR="00F542B4" w:rsidRDefault="00F542B4">
      <w:pPr>
        <w:widowControl w:val="0"/>
        <w:spacing w:line="360" w:lineRule="auto"/>
        <w:jc w:val="both"/>
        <w:rPr>
          <w:rFonts w:ascii="Bookman Old Style" w:hAnsi="Bookman Old Style" w:cs="Bookman Old Style"/>
          <w:snapToGrid w:val="0"/>
          <w:sz w:val="26"/>
          <w:szCs w:val="26"/>
        </w:rPr>
      </w:pPr>
    </w:p>
    <w:p w:rsidR="00F542B4" w:rsidRPr="00341F2C" w:rsidRDefault="00F542B4">
      <w:pPr>
        <w:pStyle w:val="Heading1"/>
        <w:spacing w:line="240" w:lineRule="auto"/>
        <w:rPr>
          <w:b/>
          <w:u w:val="none"/>
        </w:rPr>
      </w:pPr>
      <w:r w:rsidRPr="00341F2C">
        <w:rPr>
          <w:b/>
          <w:u w:val="none"/>
        </w:rPr>
        <w:t>Use Note</w:t>
      </w:r>
    </w:p>
    <w:p w:rsidR="00F542B4" w:rsidRDefault="00F542B4">
      <w:pPr>
        <w:widowControl w:val="0"/>
        <w:jc w:val="both"/>
        <w:rPr>
          <w:rFonts w:ascii="Bookman Old Style" w:hAnsi="Bookman Old Style" w:cs="Bookman Old Style"/>
          <w:sz w:val="26"/>
          <w:szCs w:val="26"/>
        </w:rPr>
      </w:pPr>
    </w:p>
    <w:p w:rsidR="00F542B4" w:rsidRDefault="00F542B4">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line="280" w:lineRule="exact"/>
      </w:pPr>
      <w:r>
        <w:t xml:space="preserve">This is an introductory instruction for survival claims under AS 09.55.570, where the defendant is deceased.  This instruction does not give substantive law and is offered only for the purpose of clarifying the identity of the parties for the jury.  This instruction may be used at the beginning of the trial to explain why the action is being defended by someone other than the person against whom it is asserted.  </w:t>
      </w:r>
    </w:p>
    <w:p w:rsidR="00F542B4" w:rsidRDefault="00F542B4">
      <w:pPr>
        <w:widowControl w:val="0"/>
        <w:spacing w:line="280" w:lineRule="exact"/>
        <w:jc w:val="both"/>
        <w:rPr>
          <w:rFonts w:ascii="Bookman Old Style" w:hAnsi="Bookman Old Style" w:cs="Bookman Old Style"/>
          <w:sz w:val="26"/>
          <w:szCs w:val="26"/>
        </w:rPr>
      </w:pPr>
    </w:p>
    <w:p w:rsidR="00F542B4" w:rsidRDefault="00F542B4">
      <w:pPr>
        <w:widowControl w:val="0"/>
        <w:spacing w:line="280" w:lineRule="exact"/>
        <w:jc w:val="both"/>
        <w:rPr>
          <w:rFonts w:ascii="Bookman Old Style" w:hAnsi="Bookman Old Style" w:cs="Bookman Old Style"/>
          <w:sz w:val="26"/>
          <w:szCs w:val="26"/>
        </w:rPr>
      </w:pPr>
      <w:r>
        <w:rPr>
          <w:rFonts w:ascii="Bookman Old Style" w:hAnsi="Bookman Old Style" w:cs="Bookman Old Style"/>
          <w:sz w:val="26"/>
          <w:szCs w:val="26"/>
        </w:rPr>
        <w:t>In the instructions relating to the substantive cause of action and damages, the words “the deceased” can be substituted for “defendant.”</w:t>
      </w:r>
    </w:p>
    <w:p w:rsidR="00F542B4" w:rsidRDefault="00F542B4">
      <w:pPr>
        <w:widowControl w:val="0"/>
        <w:jc w:val="both"/>
        <w:rPr>
          <w:rFonts w:ascii="Bookman Old Style" w:hAnsi="Bookman Old Style" w:cs="Bookman Old Style"/>
          <w:sz w:val="26"/>
          <w:szCs w:val="26"/>
        </w:rPr>
      </w:pPr>
    </w:p>
    <w:p w:rsidR="00454528" w:rsidRDefault="00454528">
      <w:pPr>
        <w:widowControl w:val="0"/>
        <w:jc w:val="both"/>
        <w:rPr>
          <w:rFonts w:ascii="Bookman Old Style" w:hAnsi="Bookman Old Style" w:cs="Bookman Old Style"/>
          <w:sz w:val="26"/>
          <w:szCs w:val="26"/>
        </w:rPr>
      </w:pPr>
    </w:p>
    <w:p w:rsidR="00F542B4" w:rsidRPr="00341F2C" w:rsidRDefault="00F542B4">
      <w:pPr>
        <w:pStyle w:val="Heading1"/>
        <w:spacing w:line="240" w:lineRule="auto"/>
        <w:rPr>
          <w:b/>
          <w:u w:val="none"/>
        </w:rPr>
      </w:pPr>
      <w:r w:rsidRPr="00341F2C">
        <w:rPr>
          <w:b/>
          <w:u w:val="none"/>
        </w:rPr>
        <w:t>Comment</w:t>
      </w:r>
    </w:p>
    <w:p w:rsidR="00F542B4" w:rsidRDefault="00F542B4">
      <w:pPr>
        <w:widowControl w:val="0"/>
        <w:jc w:val="both"/>
        <w:rPr>
          <w:rFonts w:ascii="Bookman Old Style" w:hAnsi="Bookman Old Style" w:cs="Bookman Old Style"/>
          <w:sz w:val="26"/>
          <w:szCs w:val="26"/>
        </w:rPr>
      </w:pPr>
    </w:p>
    <w:p w:rsidR="00F542B4" w:rsidRDefault="00F542B4">
      <w:pPr>
        <w:widowControl w:val="0"/>
        <w:jc w:val="both"/>
        <w:rPr>
          <w:rFonts w:ascii="Bookman Old Style" w:hAnsi="Bookman Old Style" w:cs="Bookman Old Style"/>
          <w:sz w:val="26"/>
          <w:szCs w:val="26"/>
        </w:rPr>
      </w:pPr>
      <w:proofErr w:type="gramStart"/>
      <w:r>
        <w:rPr>
          <w:rFonts w:ascii="Bookman Old Style" w:hAnsi="Bookman Old Style" w:cs="Bookman Old Style"/>
          <w:sz w:val="26"/>
          <w:szCs w:val="26"/>
        </w:rPr>
        <w:t>AS 09.55.570 provides that causes of action except defamation survive the death of the defendant and may be brought against the deceased’s personal representative.</w:t>
      </w:r>
      <w:proofErr w:type="gramEnd"/>
    </w:p>
    <w:p w:rsidR="00F542B4" w:rsidRDefault="00F542B4">
      <w:pPr>
        <w:widowControl w:val="0"/>
        <w:jc w:val="both"/>
        <w:rPr>
          <w:rFonts w:ascii="Bookman Old Style" w:hAnsi="Bookman Old Style" w:cs="Bookman Old Style"/>
          <w:sz w:val="26"/>
          <w:szCs w:val="26"/>
        </w:rPr>
      </w:pPr>
    </w:p>
    <w:p w:rsidR="00F542B4" w:rsidRDefault="00F542B4">
      <w:pPr>
        <w:widowControl w:val="0"/>
        <w:jc w:val="both"/>
        <w:rPr>
          <w:rFonts w:ascii="Bookman Old Style" w:hAnsi="Bookman Old Style" w:cs="Bookman Old Style"/>
          <w:sz w:val="26"/>
          <w:szCs w:val="26"/>
        </w:rPr>
      </w:pPr>
      <w:r>
        <w:rPr>
          <w:rFonts w:ascii="Bookman Old Style" w:hAnsi="Bookman Old Style" w:cs="Bookman Old Style"/>
          <w:sz w:val="26"/>
          <w:szCs w:val="26"/>
        </w:rPr>
        <w:t xml:space="preserve">In </w:t>
      </w:r>
      <w:r w:rsidR="00752DF8" w:rsidRPr="000F2BBA">
        <w:rPr>
          <w:rFonts w:ascii="Bookman Old Style" w:hAnsi="Bookman Old Style" w:cs="Bookman Old Style"/>
          <w:i/>
          <w:sz w:val="26"/>
          <w:szCs w:val="26"/>
        </w:rPr>
        <w:t xml:space="preserve">Doe </w:t>
      </w:r>
      <w:r w:rsidR="00111D9F" w:rsidRPr="000F2BBA">
        <w:rPr>
          <w:rFonts w:ascii="Bookman Old Style" w:hAnsi="Bookman Old Style" w:cs="Bookman Old Style"/>
          <w:i/>
          <w:sz w:val="26"/>
          <w:szCs w:val="26"/>
        </w:rPr>
        <w:t xml:space="preserve">v. </w:t>
      </w:r>
      <w:proofErr w:type="spellStart"/>
      <w:r w:rsidRPr="000F2BBA">
        <w:rPr>
          <w:rFonts w:ascii="Bookman Old Style" w:hAnsi="Bookman Old Style" w:cs="Bookman Old Style"/>
          <w:i/>
          <w:sz w:val="26"/>
          <w:szCs w:val="26"/>
        </w:rPr>
        <w:t>Colligan</w:t>
      </w:r>
      <w:proofErr w:type="spellEnd"/>
      <w:r>
        <w:rPr>
          <w:rFonts w:ascii="Bookman Old Style" w:hAnsi="Bookman Old Style" w:cs="Bookman Old Style"/>
          <w:sz w:val="26"/>
          <w:szCs w:val="26"/>
        </w:rPr>
        <w:t xml:space="preserve">, 753 P.2d 144, 146 (Alaska 1988), the </w:t>
      </w:r>
      <w:proofErr w:type="gramStart"/>
      <w:r>
        <w:rPr>
          <w:rFonts w:ascii="Bookman Old Style" w:hAnsi="Bookman Old Style" w:cs="Bookman Old Style"/>
          <w:sz w:val="26"/>
          <w:szCs w:val="26"/>
        </w:rPr>
        <w:t>supreme court</w:t>
      </w:r>
      <w:proofErr w:type="gramEnd"/>
      <w:r>
        <w:rPr>
          <w:rFonts w:ascii="Bookman Old Style" w:hAnsi="Bookman Old Style" w:cs="Bookman Old Style"/>
          <w:sz w:val="26"/>
          <w:szCs w:val="26"/>
        </w:rPr>
        <w:t xml:space="preserve"> held that punitive damages may not be recovered from the estate of a deceased </w:t>
      </w:r>
      <w:proofErr w:type="spellStart"/>
      <w:r>
        <w:rPr>
          <w:rFonts w:ascii="Bookman Old Style" w:hAnsi="Bookman Old Style" w:cs="Bookman Old Style"/>
          <w:sz w:val="26"/>
          <w:szCs w:val="26"/>
        </w:rPr>
        <w:t>tortfeaser</w:t>
      </w:r>
      <w:proofErr w:type="spellEnd"/>
      <w:r>
        <w:rPr>
          <w:rFonts w:ascii="Bookman Old Style" w:hAnsi="Bookman Old Style" w:cs="Bookman Old Style"/>
          <w:sz w:val="26"/>
          <w:szCs w:val="26"/>
        </w:rPr>
        <w:t xml:space="preserve"> under AS 09.55.570.</w:t>
      </w:r>
    </w:p>
    <w:sectPr w:rsidR="00F542B4">
      <w:footerReference w:type="default" r:id="rId8"/>
      <w:type w:val="continuous"/>
      <w:pgSz w:w="12240" w:h="15840"/>
      <w:pgMar w:top="1440" w:right="1440" w:bottom="1166"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FB" w:rsidRDefault="005D3BFB" w:rsidP="00ED3244">
      <w:r>
        <w:separator/>
      </w:r>
    </w:p>
  </w:endnote>
  <w:endnote w:type="continuationSeparator" w:id="0">
    <w:p w:rsidR="005D3BFB" w:rsidRDefault="005D3BFB" w:rsidP="00ED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2B4" w:rsidRPr="007B023B" w:rsidRDefault="00F542B4">
    <w:pPr>
      <w:pStyle w:val="Footer"/>
      <w:tabs>
        <w:tab w:val="clear" w:pos="8640"/>
        <w:tab w:val="right" w:pos="9270"/>
      </w:tabs>
      <w:rPr>
        <w:rFonts w:ascii="Bookman Old Style" w:hAnsi="Bookman Old Style" w:cs="Bookman Old Style"/>
        <w:sz w:val="22"/>
        <w:szCs w:val="22"/>
      </w:rPr>
    </w:pPr>
    <w:r w:rsidRPr="007B023B">
      <w:rPr>
        <w:rFonts w:ascii="Bookman Old Style" w:hAnsi="Bookman Old Style" w:cs="Bookman Old Style"/>
        <w:sz w:val="22"/>
        <w:szCs w:val="22"/>
      </w:rPr>
      <w:t>Revised</w:t>
    </w:r>
    <w:r w:rsidR="00752DF8" w:rsidRPr="007B023B">
      <w:rPr>
        <w:rFonts w:ascii="Bookman Old Style" w:hAnsi="Bookman Old Style" w:cs="Bookman Old Style"/>
        <w:sz w:val="22"/>
        <w:szCs w:val="22"/>
      </w:rPr>
      <w:t xml:space="preserve"> </w:t>
    </w:r>
    <w:r w:rsidR="00454528" w:rsidRPr="007B023B">
      <w:rPr>
        <w:rFonts w:ascii="Bookman Old Style" w:hAnsi="Bookman Old Style" w:cs="Bookman Old Style"/>
        <w:sz w:val="22"/>
        <w:szCs w:val="22"/>
      </w:rPr>
      <w:t>2013</w:t>
    </w:r>
    <w:r w:rsidRPr="007B023B">
      <w:rPr>
        <w:rFonts w:ascii="Bookman Old Style" w:hAnsi="Bookman Old Style" w:cs="Bookman Old Style"/>
        <w:sz w:val="22"/>
        <w:szCs w:val="22"/>
      </w:rPr>
      <w:tab/>
    </w:r>
    <w:r w:rsidRPr="007B023B">
      <w:rPr>
        <w:rFonts w:ascii="Bookman Old Style" w:hAnsi="Bookman Old Style" w:cs="Bookman Old Style"/>
        <w:sz w:val="22"/>
        <w:szCs w:val="22"/>
      </w:rPr>
      <w:tab/>
      <w:t>04.01B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FB" w:rsidRDefault="005D3BFB" w:rsidP="00ED3244">
      <w:r>
        <w:separator/>
      </w:r>
    </w:p>
  </w:footnote>
  <w:footnote w:type="continuationSeparator" w:id="0">
    <w:p w:rsidR="005D3BFB" w:rsidRDefault="005D3BFB" w:rsidP="00ED3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B4"/>
    <w:rsid w:val="000F2BBA"/>
    <w:rsid w:val="00111D9F"/>
    <w:rsid w:val="002352DD"/>
    <w:rsid w:val="00341F2C"/>
    <w:rsid w:val="00454528"/>
    <w:rsid w:val="005D1DC0"/>
    <w:rsid w:val="005D3BFB"/>
    <w:rsid w:val="00752DF8"/>
    <w:rsid w:val="007B023B"/>
    <w:rsid w:val="00CA585C"/>
    <w:rsid w:val="00E25075"/>
    <w:rsid w:val="00ED3244"/>
    <w:rsid w:val="00F34086"/>
    <w:rsid w:val="00F53C0C"/>
    <w:rsid w:val="00F5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spacing w:line="360" w:lineRule="auto"/>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widowControl w:val="0"/>
      <w:spacing w:line="360" w:lineRule="auto"/>
      <w:ind w:left="2160" w:hanging="2160"/>
      <w:jc w:val="both"/>
    </w:pPr>
    <w:rPr>
      <w:rFonts w:ascii="Bookman Old Style" w:hAnsi="Bookman Old Style" w:cs="Bookman Old Style"/>
      <w:b/>
      <w:bCs/>
      <w:sz w:val="26"/>
      <w:szCs w:val="26"/>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spacing w:line="360" w:lineRule="auto"/>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widowControl w:val="0"/>
      <w:spacing w:line="360" w:lineRule="auto"/>
      <w:ind w:left="2160" w:hanging="2160"/>
      <w:jc w:val="both"/>
    </w:pPr>
    <w:rPr>
      <w:rFonts w:ascii="Bookman Old Style" w:hAnsi="Bookman Old Style" w:cs="Bookman Old Style"/>
      <w:b/>
      <w:bCs/>
      <w:sz w:val="26"/>
      <w:szCs w:val="26"/>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964C9-EE3D-4575-B2B9-94F75D8F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korzechowski</dc:creator>
  <cp:lastModifiedBy>Christine Johnson</cp:lastModifiedBy>
  <cp:revision>10</cp:revision>
  <cp:lastPrinted>2013-10-08T17:43:00Z</cp:lastPrinted>
  <dcterms:created xsi:type="dcterms:W3CDTF">2012-05-10T17:10:00Z</dcterms:created>
  <dcterms:modified xsi:type="dcterms:W3CDTF">2013-10-08T18:26:00Z</dcterms:modified>
</cp:coreProperties>
</file>