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2BB" w:rsidRDefault="000312BB">
      <w:pPr>
        <w:widowControl w:val="0"/>
        <w:tabs>
          <w:tab w:val="left" w:pos="-1440"/>
          <w:tab w:val="left" w:pos="-720"/>
          <w:tab w:val="left" w:pos="1440"/>
        </w:tabs>
        <w:spacing w:line="360" w:lineRule="auto"/>
        <w:jc w:val="both"/>
        <w:rPr>
          <w:rFonts w:ascii="Bookman Old Style" w:hAnsi="Bookman Old Style" w:cs="Bookman Old Style"/>
          <w:b/>
          <w:bCs/>
          <w:snapToGrid w:val="0"/>
          <w:sz w:val="26"/>
          <w:szCs w:val="26"/>
        </w:rPr>
      </w:pPr>
      <w:bookmarkStart w:id="0" w:name="_GoBack"/>
      <w:bookmarkEnd w:id="0"/>
      <w:r>
        <w:rPr>
          <w:rFonts w:ascii="Bookman Old Style" w:hAnsi="Bookman Old Style" w:cs="Bookman Old Style"/>
          <w:b/>
          <w:bCs/>
          <w:snapToGrid w:val="0"/>
          <w:sz w:val="26"/>
          <w:szCs w:val="26"/>
        </w:rPr>
        <w:t>04.01C</w:t>
      </w:r>
      <w:r>
        <w:rPr>
          <w:rFonts w:ascii="Bookman Old Style" w:hAnsi="Bookman Old Style" w:cs="Bookman Old Style"/>
          <w:b/>
          <w:bCs/>
          <w:snapToGrid w:val="0"/>
          <w:sz w:val="26"/>
          <w:szCs w:val="26"/>
        </w:rPr>
        <w:tab/>
        <w:t>WRONGFUL DEATH ACTION — IDENTITY OF PARTIES</w:t>
      </w:r>
    </w:p>
    <w:p w:rsidR="000312BB" w:rsidRDefault="000312BB">
      <w:pPr>
        <w:widowControl w:val="0"/>
        <w:spacing w:line="360" w:lineRule="auto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0312BB" w:rsidRDefault="000312BB">
      <w:pPr>
        <w:widowControl w:val="0"/>
        <w:spacing w:line="360" w:lineRule="auto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0312BB" w:rsidRDefault="000312BB">
      <w:pPr>
        <w:widowControl w:val="0"/>
        <w:spacing w:line="360" w:lineRule="auto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  <w:r>
        <w:rPr>
          <w:rFonts w:ascii="Bookman Old Style" w:hAnsi="Bookman Old Style" w:cs="Bookman Old Style"/>
          <w:snapToGrid w:val="0"/>
          <w:sz w:val="26"/>
          <w:szCs w:val="26"/>
        </w:rPr>
        <w:t>The plaintiff in this case is the personal representat</w:t>
      </w:r>
      <w:r w:rsidR="00905B48">
        <w:rPr>
          <w:rFonts w:ascii="Bookman Old Style" w:hAnsi="Bookman Old Style" w:cs="Bookman Old Style"/>
          <w:snapToGrid w:val="0"/>
          <w:sz w:val="26"/>
          <w:szCs w:val="26"/>
        </w:rPr>
        <w:t>ive of [decedent]</w:t>
      </w:r>
      <w:r>
        <w:rPr>
          <w:rFonts w:ascii="Bookman Old Style" w:hAnsi="Bookman Old Style" w:cs="Bookman Old Style"/>
          <w:snapToGrid w:val="0"/>
          <w:sz w:val="26"/>
          <w:szCs w:val="26"/>
        </w:rPr>
        <w:t>, who is deceased.  This lawsuit arises out of the de</w:t>
      </w:r>
      <w:r w:rsidR="00905B48">
        <w:rPr>
          <w:rFonts w:ascii="Bookman Old Style" w:hAnsi="Bookman Old Style" w:cs="Bookman Old Style"/>
          <w:snapToGrid w:val="0"/>
          <w:sz w:val="26"/>
          <w:szCs w:val="26"/>
        </w:rPr>
        <w:t>ath of [decedent]</w:t>
      </w:r>
      <w:r>
        <w:rPr>
          <w:rFonts w:ascii="Bookman Old Style" w:hAnsi="Bookman Old Style" w:cs="Bookman Old Style"/>
          <w:snapToGrid w:val="0"/>
          <w:sz w:val="26"/>
          <w:szCs w:val="26"/>
        </w:rPr>
        <w:t>.  The law allows the plaintiff to bring this lawsuit on behal</w:t>
      </w:r>
      <w:r w:rsidR="00744C79">
        <w:rPr>
          <w:rFonts w:ascii="Bookman Old Style" w:hAnsi="Bookman Old Style" w:cs="Bookman Old Style"/>
          <w:snapToGrid w:val="0"/>
          <w:sz w:val="26"/>
          <w:szCs w:val="26"/>
        </w:rPr>
        <w:t xml:space="preserve">f of the deceased's </w:t>
      </w:r>
      <w:r w:rsidR="00F60255">
        <w:rPr>
          <w:rFonts w:ascii="Bookman Old Style" w:hAnsi="Bookman Old Style" w:cs="Bookman Old Style"/>
          <w:snapToGrid w:val="0"/>
          <w:sz w:val="26"/>
          <w:szCs w:val="26"/>
        </w:rPr>
        <w:t>[spouse] [and] [children] [and] [</w:t>
      </w:r>
      <w:r w:rsidR="00FE20DF">
        <w:rPr>
          <w:rFonts w:ascii="Bookman Old Style" w:hAnsi="Bookman Old Style" w:cs="Bookman Old Style"/>
          <w:snapToGrid w:val="0"/>
          <w:sz w:val="26"/>
          <w:szCs w:val="26"/>
        </w:rPr>
        <w:t xml:space="preserve">[other] </w:t>
      </w:r>
      <w:r w:rsidR="00F60255">
        <w:rPr>
          <w:rFonts w:ascii="Bookman Old Style" w:hAnsi="Bookman Old Style" w:cs="Bookman Old Style"/>
          <w:snapToGrid w:val="0"/>
          <w:sz w:val="26"/>
          <w:szCs w:val="26"/>
        </w:rPr>
        <w:t>beneficiaries] [estate]</w:t>
      </w:r>
      <w:r>
        <w:rPr>
          <w:rFonts w:ascii="Bookman Old Style" w:hAnsi="Bookman Old Style" w:cs="Bookman Old Style"/>
          <w:snapToGrid w:val="0"/>
          <w:sz w:val="26"/>
          <w:szCs w:val="26"/>
        </w:rPr>
        <w:t>.</w:t>
      </w:r>
    </w:p>
    <w:p w:rsidR="000312BB" w:rsidRDefault="000312BB">
      <w:pPr>
        <w:widowControl w:val="0"/>
        <w:spacing w:line="360" w:lineRule="auto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0312BB" w:rsidRDefault="000312BB">
      <w:pPr>
        <w:widowControl w:val="0"/>
        <w:spacing w:line="360" w:lineRule="auto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0312BB" w:rsidRPr="0081758F" w:rsidRDefault="000312BB">
      <w:pPr>
        <w:pStyle w:val="Heading1"/>
        <w:jc w:val="center"/>
        <w:rPr>
          <w:b/>
        </w:rPr>
      </w:pPr>
      <w:r w:rsidRPr="0081758F">
        <w:rPr>
          <w:b/>
        </w:rPr>
        <w:t>Use Note</w:t>
      </w:r>
    </w:p>
    <w:p w:rsidR="000312BB" w:rsidRDefault="000312BB">
      <w:pPr>
        <w:widowControl w:val="0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0312BB" w:rsidRDefault="000312BB">
      <w:pPr>
        <w:widowControl w:val="0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  <w:r>
        <w:rPr>
          <w:rFonts w:ascii="Bookman Old Style" w:hAnsi="Bookman Old Style" w:cs="Bookman Old Style"/>
          <w:snapToGrid w:val="0"/>
          <w:sz w:val="26"/>
          <w:szCs w:val="26"/>
        </w:rPr>
        <w:t>This instruction may be used at the beginning of trial in a wrongful death action under AS 09.55.580 to explain the identity of the plaintiff.</w:t>
      </w:r>
    </w:p>
    <w:p w:rsidR="000312BB" w:rsidRDefault="000312BB">
      <w:pPr>
        <w:widowControl w:val="0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2D4377" w:rsidRDefault="002D4377">
      <w:pPr>
        <w:widowControl w:val="0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0312BB" w:rsidRPr="0081758F" w:rsidRDefault="000312BB">
      <w:pPr>
        <w:widowControl w:val="0"/>
        <w:jc w:val="center"/>
        <w:rPr>
          <w:rFonts w:ascii="Bookman Old Style" w:hAnsi="Bookman Old Style" w:cs="Bookman Old Style"/>
          <w:b/>
          <w:snapToGrid w:val="0"/>
          <w:sz w:val="26"/>
          <w:szCs w:val="26"/>
        </w:rPr>
      </w:pPr>
      <w:r w:rsidRPr="0081758F">
        <w:rPr>
          <w:rFonts w:ascii="Bookman Old Style" w:hAnsi="Bookman Old Style" w:cs="Bookman Old Style"/>
          <w:b/>
          <w:snapToGrid w:val="0"/>
          <w:sz w:val="26"/>
          <w:szCs w:val="26"/>
        </w:rPr>
        <w:t>Comment</w:t>
      </w:r>
    </w:p>
    <w:p w:rsidR="000312BB" w:rsidRDefault="000312BB">
      <w:pPr>
        <w:widowControl w:val="0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0312BB" w:rsidRDefault="000312BB">
      <w:pPr>
        <w:widowControl w:val="0"/>
        <w:jc w:val="both"/>
        <w:rPr>
          <w:rFonts w:ascii="Bookman Old Style" w:hAnsi="Bookman Old Style" w:cs="Bookman Old Style"/>
          <w:sz w:val="26"/>
          <w:szCs w:val="26"/>
        </w:rPr>
      </w:pPr>
      <w:r>
        <w:rPr>
          <w:rFonts w:ascii="Bookman Old Style" w:hAnsi="Bookman Old Style" w:cs="Bookman Old Style"/>
          <w:snapToGrid w:val="0"/>
          <w:sz w:val="26"/>
          <w:szCs w:val="26"/>
        </w:rPr>
        <w:t>AS 09.55.580 provides that the personal representative may maintain an action for wrongful death of the</w:t>
      </w:r>
      <w:r w:rsidR="009005F3">
        <w:rPr>
          <w:rFonts w:ascii="Bookman Old Style" w:hAnsi="Bookman Old Style" w:cs="Bookman Old Style"/>
          <w:snapToGrid w:val="0"/>
          <w:sz w:val="26"/>
          <w:szCs w:val="26"/>
        </w:rPr>
        <w:t xml:space="preserve"> decedent.</w:t>
      </w:r>
    </w:p>
    <w:sectPr w:rsidR="000312BB">
      <w:footerReference w:type="first" r:id="rId7"/>
      <w:type w:val="continuous"/>
      <w:pgSz w:w="12240" w:h="15840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84F" w:rsidRDefault="0000684F" w:rsidP="00ED3244">
      <w:r>
        <w:separator/>
      </w:r>
    </w:p>
  </w:endnote>
  <w:endnote w:type="continuationSeparator" w:id="0">
    <w:p w:rsidR="0000684F" w:rsidRDefault="0000684F" w:rsidP="00ED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55" w:rsidRPr="00B14C38" w:rsidRDefault="00ED45F2">
    <w:pPr>
      <w:pStyle w:val="Footer"/>
      <w:tabs>
        <w:tab w:val="clear" w:pos="8640"/>
        <w:tab w:val="right" w:pos="9090"/>
      </w:tabs>
      <w:rPr>
        <w:rFonts w:ascii="Bookman Old Style" w:hAnsi="Bookman Old Style" w:cs="Bookman Old Style"/>
        <w:sz w:val="22"/>
        <w:szCs w:val="22"/>
      </w:rPr>
    </w:pPr>
    <w:r w:rsidRPr="00B14C38">
      <w:rPr>
        <w:rFonts w:ascii="Bookman Old Style" w:hAnsi="Bookman Old Style" w:cs="Bookman Old Style"/>
        <w:sz w:val="22"/>
        <w:szCs w:val="22"/>
      </w:rPr>
      <w:t xml:space="preserve">Revised </w:t>
    </w:r>
    <w:r w:rsidR="00B14C38" w:rsidRPr="00B14C38">
      <w:rPr>
        <w:rFonts w:ascii="Bookman Old Style" w:hAnsi="Bookman Old Style" w:cs="Bookman Old Style"/>
        <w:sz w:val="22"/>
        <w:szCs w:val="22"/>
      </w:rPr>
      <w:t>2013</w:t>
    </w:r>
    <w:r w:rsidR="00F60255" w:rsidRPr="00B14C38">
      <w:rPr>
        <w:rFonts w:ascii="Bookman Old Style" w:hAnsi="Bookman Old Style" w:cs="Bookman Old Style"/>
        <w:sz w:val="22"/>
        <w:szCs w:val="22"/>
      </w:rPr>
      <w:tab/>
    </w:r>
    <w:r w:rsidR="00F60255" w:rsidRPr="00B14C38">
      <w:rPr>
        <w:rFonts w:ascii="Bookman Old Style" w:hAnsi="Bookman Old Style" w:cs="Bookman Old Style"/>
        <w:sz w:val="22"/>
        <w:szCs w:val="22"/>
      </w:rPr>
      <w:tab/>
      <w:t>04.01C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84F" w:rsidRDefault="0000684F" w:rsidP="00ED3244">
      <w:r>
        <w:separator/>
      </w:r>
    </w:p>
  </w:footnote>
  <w:footnote w:type="continuationSeparator" w:id="0">
    <w:p w:rsidR="0000684F" w:rsidRDefault="0000684F" w:rsidP="00ED3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BB"/>
    <w:rsid w:val="0000684F"/>
    <w:rsid w:val="000312BB"/>
    <w:rsid w:val="00041835"/>
    <w:rsid w:val="000723DE"/>
    <w:rsid w:val="001D0D4B"/>
    <w:rsid w:val="00255EA5"/>
    <w:rsid w:val="00260D5A"/>
    <w:rsid w:val="002D4377"/>
    <w:rsid w:val="00305198"/>
    <w:rsid w:val="003A26AB"/>
    <w:rsid w:val="004D15D5"/>
    <w:rsid w:val="005F7ADA"/>
    <w:rsid w:val="00744C79"/>
    <w:rsid w:val="007B1EAE"/>
    <w:rsid w:val="0081758F"/>
    <w:rsid w:val="009005F3"/>
    <w:rsid w:val="00905B48"/>
    <w:rsid w:val="00B14C38"/>
    <w:rsid w:val="00BB29FD"/>
    <w:rsid w:val="00DA4D6D"/>
    <w:rsid w:val="00E9632B"/>
    <w:rsid w:val="00ED3244"/>
    <w:rsid w:val="00ED45F2"/>
    <w:rsid w:val="00F06A78"/>
    <w:rsid w:val="00F32660"/>
    <w:rsid w:val="00F60255"/>
    <w:rsid w:val="00FE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both"/>
      <w:outlineLvl w:val="0"/>
    </w:pPr>
    <w:rPr>
      <w:rFonts w:ascii="Bookman Old Style" w:hAnsi="Bookman Old Style" w:cs="Bookman Old Style"/>
      <w:sz w:val="26"/>
      <w:szCs w:val="26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2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1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both"/>
      <w:outlineLvl w:val="0"/>
    </w:pPr>
    <w:rPr>
      <w:rFonts w:ascii="Bookman Old Style" w:hAnsi="Bookman Old Style" w:cs="Bookman Old Style"/>
      <w:sz w:val="26"/>
      <w:szCs w:val="26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2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1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Court System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korzechowski</dc:creator>
  <cp:lastModifiedBy>Windows User</cp:lastModifiedBy>
  <cp:revision>2</cp:revision>
  <cp:lastPrinted>2013-10-08T17:43:00Z</cp:lastPrinted>
  <dcterms:created xsi:type="dcterms:W3CDTF">2013-10-08T21:03:00Z</dcterms:created>
  <dcterms:modified xsi:type="dcterms:W3CDTF">2013-10-08T21:03:00Z</dcterms:modified>
</cp:coreProperties>
</file>