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8C2" w:rsidRDefault="00ED18C2">
      <w:pPr>
        <w:pStyle w:val="BodyText2"/>
        <w:ind w:left="1440" w:hanging="1440"/>
        <w:jc w:val="both"/>
        <w:rPr>
          <w:snapToGrid w:val="0"/>
          <w:u w:val="none"/>
        </w:rPr>
      </w:pPr>
      <w:bookmarkStart w:id="0" w:name="_GoBack"/>
      <w:bookmarkEnd w:id="0"/>
      <w:r>
        <w:rPr>
          <w:snapToGrid w:val="0"/>
          <w:u w:val="none"/>
        </w:rPr>
        <w:t>04.03</w:t>
      </w:r>
      <w:r>
        <w:rPr>
          <w:snapToGrid w:val="0"/>
          <w:u w:val="none"/>
        </w:rPr>
        <w:tab/>
        <w:t xml:space="preserve">WRONGFUL DEATH CLAIM </w:t>
      </w:r>
      <w:r>
        <w:rPr>
          <w:u w:val="none"/>
        </w:rPr>
        <w:t>—</w:t>
      </w:r>
      <w:r>
        <w:rPr>
          <w:snapToGrid w:val="0"/>
          <w:u w:val="none"/>
        </w:rPr>
        <w:t xml:space="preserve"> WITH OPTIONAL SURVIVAL CLAIM</w:t>
      </w:r>
    </w:p>
    <w:p w:rsidR="00ED18C2" w:rsidRDefault="00ED18C2">
      <w:pPr>
        <w:spacing w:line="360" w:lineRule="auto"/>
        <w:jc w:val="both"/>
        <w:rPr>
          <w:rFonts w:ascii="Bookman Old Style" w:hAnsi="Bookman Old Style" w:cs="Bookman Old Style"/>
          <w:snapToGrid w:val="0"/>
          <w:sz w:val="26"/>
          <w:szCs w:val="26"/>
        </w:rPr>
      </w:pPr>
    </w:p>
    <w:p w:rsidR="00ED18C2" w:rsidRDefault="00ED18C2">
      <w:pPr>
        <w:spacing w:line="360" w:lineRule="auto"/>
        <w:jc w:val="both"/>
        <w:rPr>
          <w:rFonts w:ascii="Bookman Old Style" w:hAnsi="Bookman Old Style" w:cs="Bookman Old Style"/>
          <w:snapToGrid w:val="0"/>
          <w:sz w:val="26"/>
          <w:szCs w:val="26"/>
        </w:rPr>
      </w:pPr>
    </w:p>
    <w:p w:rsidR="00ED18C2" w:rsidRDefault="00ED18C2">
      <w:pPr>
        <w:spacing w:line="360" w:lineRule="auto"/>
        <w:jc w:val="both"/>
        <w:rPr>
          <w:rFonts w:ascii="Bookman Old Style" w:hAnsi="Bookman Old Style" w:cs="Bookman Old Style"/>
          <w:snapToGrid w:val="0"/>
          <w:sz w:val="26"/>
          <w:szCs w:val="26"/>
        </w:rPr>
      </w:pPr>
      <w:r>
        <w:rPr>
          <w:rFonts w:ascii="Bookman Old Style" w:hAnsi="Bookman Old Style" w:cs="Bookman Old Style"/>
          <w:snapToGrid w:val="0"/>
          <w:sz w:val="26"/>
          <w:szCs w:val="26"/>
        </w:rPr>
        <w:t xml:space="preserve">The plaintiff </w:t>
      </w:r>
      <w:r w:rsidR="00FC0436">
        <w:rPr>
          <w:rFonts w:ascii="Bookman Old Style" w:hAnsi="Bookman Old Style" w:cs="Bookman Old Style"/>
          <w:snapToGrid w:val="0"/>
          <w:sz w:val="26"/>
          <w:szCs w:val="26"/>
        </w:rPr>
        <w:t>clai</w:t>
      </w:r>
      <w:r>
        <w:rPr>
          <w:rFonts w:ascii="Bookman Old Style" w:hAnsi="Bookman Old Style" w:cs="Bookman Old Style"/>
          <w:snapToGrid w:val="0"/>
          <w:sz w:val="26"/>
          <w:szCs w:val="26"/>
        </w:rPr>
        <w:t>ms that the defendant is legally responsible both for harm suffered by</w:t>
      </w:r>
      <w:r w:rsidR="00784AC0">
        <w:rPr>
          <w:rFonts w:ascii="Bookman Old Style" w:hAnsi="Bookman Old Style" w:cs="Bookman Old Style"/>
          <w:snapToGrid w:val="0"/>
          <w:sz w:val="26"/>
          <w:szCs w:val="26"/>
        </w:rPr>
        <w:t xml:space="preserve"> the deceased before [his][her]</w:t>
      </w:r>
      <w:r>
        <w:rPr>
          <w:rFonts w:ascii="Bookman Old Style" w:hAnsi="Bookman Old Style" w:cs="Bookman Old Style"/>
          <w:snapToGrid w:val="0"/>
          <w:sz w:val="26"/>
          <w:szCs w:val="26"/>
        </w:rPr>
        <w:t xml:space="preserve"> death and for</w:t>
      </w:r>
      <w:r w:rsidR="00784AC0">
        <w:rPr>
          <w:rFonts w:ascii="Bookman Old Style" w:hAnsi="Bookman Old Style" w:cs="Bookman Old Style"/>
          <w:snapToGrid w:val="0"/>
          <w:sz w:val="26"/>
          <w:szCs w:val="26"/>
        </w:rPr>
        <w:t xml:space="preserve"> loss caused to the deceased's [</w:t>
      </w:r>
      <w:r>
        <w:rPr>
          <w:rFonts w:ascii="Bookman Old Style" w:hAnsi="Bookman Old Style" w:cs="Bookman Old Style"/>
          <w:snapToGrid w:val="0"/>
          <w:sz w:val="26"/>
          <w:szCs w:val="26"/>
        </w:rPr>
        <w:t>benefic</w:t>
      </w:r>
      <w:r w:rsidR="00FC0436">
        <w:rPr>
          <w:rFonts w:ascii="Bookman Old Style" w:hAnsi="Bookman Old Style" w:cs="Bookman Old Style"/>
          <w:snapToGrid w:val="0"/>
          <w:sz w:val="26"/>
          <w:szCs w:val="26"/>
        </w:rPr>
        <w:t>i</w:t>
      </w:r>
      <w:r w:rsidR="00784AC0">
        <w:rPr>
          <w:rFonts w:ascii="Bookman Old Style" w:hAnsi="Bookman Old Style" w:cs="Bookman Old Style"/>
          <w:snapToGrid w:val="0"/>
          <w:sz w:val="26"/>
          <w:szCs w:val="26"/>
        </w:rPr>
        <w:t>ar(y)(ies)][estate] by [</w:t>
      </w:r>
      <w:r>
        <w:rPr>
          <w:rFonts w:ascii="Bookman Old Style" w:hAnsi="Bookman Old Style" w:cs="Bookman Old Style"/>
          <w:snapToGrid w:val="0"/>
          <w:sz w:val="26"/>
          <w:szCs w:val="26"/>
        </w:rPr>
        <w:t>his</w:t>
      </w:r>
      <w:r w:rsidR="00784AC0">
        <w:rPr>
          <w:rFonts w:ascii="Bookman Old Style" w:hAnsi="Bookman Old Style" w:cs="Bookman Old Style"/>
          <w:snapToGrid w:val="0"/>
          <w:sz w:val="26"/>
          <w:szCs w:val="26"/>
        </w:rPr>
        <w:t>][her]</w:t>
      </w:r>
      <w:r>
        <w:rPr>
          <w:rFonts w:ascii="Bookman Old Style" w:hAnsi="Bookman Old Style" w:cs="Bookman Old Style"/>
          <w:snapToGrid w:val="0"/>
          <w:sz w:val="26"/>
          <w:szCs w:val="26"/>
        </w:rPr>
        <w:t xml:space="preserve"> death.   [These are two separate claims against the defendant and you must decide them separately.]</w:t>
      </w:r>
    </w:p>
    <w:p w:rsidR="00ED18C2" w:rsidRDefault="00ED18C2">
      <w:pPr>
        <w:spacing w:line="360" w:lineRule="auto"/>
        <w:jc w:val="both"/>
        <w:rPr>
          <w:rFonts w:ascii="Bookman Old Style" w:hAnsi="Bookman Old Style" w:cs="Bookman Old Style"/>
          <w:snapToGrid w:val="0"/>
          <w:sz w:val="26"/>
          <w:szCs w:val="26"/>
        </w:rPr>
      </w:pPr>
    </w:p>
    <w:p w:rsidR="00ED18C2" w:rsidRDefault="00E6681A">
      <w:pPr>
        <w:pStyle w:val="BodyTextIndent2"/>
      </w:pPr>
      <w:r>
        <w:t>[(1)</w:t>
      </w:r>
      <w:r w:rsidR="00ED18C2">
        <w:tab/>
        <w:t>Plaintiff seeks compensation for the deceased's estate for harm s</w:t>
      </w:r>
      <w:r w:rsidR="00784AC0">
        <w:t>uffered by the deceased before [he][she]</w:t>
      </w:r>
      <w:r w:rsidR="00ED18C2">
        <w:t xml:space="preserve"> </w:t>
      </w:r>
      <w:r w:rsidR="00FC0436">
        <w:t>died</w:t>
      </w:r>
      <w:r w:rsidR="00ED18C2">
        <w:t>.]</w:t>
      </w:r>
    </w:p>
    <w:p w:rsidR="00ED18C2" w:rsidRDefault="00ED18C2">
      <w:pPr>
        <w:spacing w:line="360" w:lineRule="auto"/>
        <w:ind w:left="720" w:hanging="720"/>
        <w:jc w:val="both"/>
        <w:rPr>
          <w:rFonts w:ascii="Bookman Old Style" w:hAnsi="Bookman Old Style" w:cs="Bookman Old Style"/>
          <w:snapToGrid w:val="0"/>
          <w:sz w:val="26"/>
          <w:szCs w:val="26"/>
        </w:rPr>
      </w:pPr>
    </w:p>
    <w:p w:rsidR="00ED18C2" w:rsidRDefault="00E6681A">
      <w:pPr>
        <w:pStyle w:val="BodyTextIndent2"/>
      </w:pPr>
      <w:r>
        <w:t>[(2)</w:t>
      </w:r>
      <w:r w:rsidR="00ED18C2">
        <w:t>]</w:t>
      </w:r>
      <w:r w:rsidR="00ED18C2">
        <w:tab/>
        <w:t>Plaintiff seeks compen</w:t>
      </w:r>
      <w:r w:rsidR="00784AC0">
        <w:t>sation for the deceased's [beneficiar(y)(ies)] [estate]</w:t>
      </w:r>
      <w:r w:rsidR="00ED18C2">
        <w:t xml:space="preserve"> for the loss suffered because of the death of the deceased.</w:t>
      </w:r>
    </w:p>
    <w:p w:rsidR="00ED18C2" w:rsidRDefault="00ED18C2">
      <w:pPr>
        <w:spacing w:line="360" w:lineRule="auto"/>
        <w:jc w:val="both"/>
        <w:rPr>
          <w:rFonts w:ascii="Bookman Old Style" w:hAnsi="Bookman Old Style" w:cs="Bookman Old Style"/>
          <w:snapToGrid w:val="0"/>
          <w:sz w:val="26"/>
          <w:szCs w:val="26"/>
        </w:rPr>
      </w:pPr>
    </w:p>
    <w:p w:rsidR="00ED18C2" w:rsidRDefault="00ED18C2">
      <w:pPr>
        <w:spacing w:line="360" w:lineRule="auto"/>
        <w:jc w:val="both"/>
        <w:rPr>
          <w:rFonts w:ascii="Bookman Old Style" w:hAnsi="Bookman Old Style" w:cs="Bookman Old Style"/>
          <w:snapToGrid w:val="0"/>
          <w:sz w:val="26"/>
          <w:szCs w:val="26"/>
        </w:rPr>
      </w:pPr>
      <w:r>
        <w:rPr>
          <w:rFonts w:ascii="Bookman Old Style" w:hAnsi="Bookman Old Style" w:cs="Bookman Old Style"/>
          <w:snapToGrid w:val="0"/>
          <w:sz w:val="26"/>
          <w:szCs w:val="26"/>
        </w:rPr>
        <w:t>[For each of these claims] you must decide whether the defendant is legally responsible for the [injury or] death and, if so, the amount of compensation.  [If you find for the plaintiff on both claims, you must compute a separate sum of money for each claim.]</w:t>
      </w:r>
    </w:p>
    <w:p w:rsidR="00ED18C2" w:rsidRDefault="00ED18C2">
      <w:pPr>
        <w:spacing w:line="360" w:lineRule="auto"/>
        <w:jc w:val="both"/>
        <w:rPr>
          <w:rFonts w:ascii="Bookman Old Style" w:hAnsi="Bookman Old Style" w:cs="Bookman Old Style"/>
          <w:snapToGrid w:val="0"/>
          <w:sz w:val="26"/>
          <w:szCs w:val="26"/>
        </w:rPr>
      </w:pPr>
    </w:p>
    <w:p w:rsidR="00ED18C2" w:rsidRDefault="00ED18C2">
      <w:pPr>
        <w:spacing w:line="360" w:lineRule="auto"/>
        <w:jc w:val="both"/>
        <w:rPr>
          <w:rFonts w:ascii="Bookman Old Style" w:hAnsi="Bookman Old Style" w:cs="Bookman Old Style"/>
          <w:snapToGrid w:val="0"/>
          <w:sz w:val="26"/>
          <w:szCs w:val="26"/>
        </w:rPr>
      </w:pPr>
      <w:r>
        <w:rPr>
          <w:rFonts w:ascii="Bookman Old Style" w:hAnsi="Bookman Old Style" w:cs="Bookman Old Style"/>
          <w:snapToGrid w:val="0"/>
          <w:sz w:val="26"/>
          <w:szCs w:val="26"/>
        </w:rPr>
        <w:t>I will explain to you in a moment how to decide each of these issues.</w:t>
      </w:r>
    </w:p>
    <w:p w:rsidR="00ED18C2" w:rsidRDefault="00ED18C2">
      <w:pPr>
        <w:spacing w:line="360" w:lineRule="auto"/>
        <w:jc w:val="both"/>
        <w:rPr>
          <w:rFonts w:ascii="Bookman Old Style" w:hAnsi="Bookman Old Style" w:cs="Bookman Old Style"/>
          <w:snapToGrid w:val="0"/>
          <w:sz w:val="26"/>
          <w:szCs w:val="26"/>
        </w:rPr>
      </w:pPr>
    </w:p>
    <w:p w:rsidR="00ED18C2" w:rsidRDefault="00ED18C2">
      <w:pPr>
        <w:spacing w:line="360" w:lineRule="auto"/>
        <w:jc w:val="both"/>
        <w:rPr>
          <w:rFonts w:ascii="Bookman Old Style" w:hAnsi="Bookman Old Style" w:cs="Bookman Old Style"/>
          <w:snapToGrid w:val="0"/>
          <w:sz w:val="26"/>
          <w:szCs w:val="26"/>
        </w:rPr>
      </w:pPr>
    </w:p>
    <w:p w:rsidR="00ED18C2" w:rsidRPr="00761D2C" w:rsidRDefault="00ED18C2">
      <w:pPr>
        <w:pStyle w:val="Heading1"/>
        <w:jc w:val="center"/>
        <w:rPr>
          <w:b/>
        </w:rPr>
      </w:pPr>
      <w:r w:rsidRPr="00761D2C">
        <w:rPr>
          <w:b/>
        </w:rPr>
        <w:t>Use Note</w:t>
      </w:r>
    </w:p>
    <w:p w:rsidR="00ED18C2" w:rsidRDefault="00ED18C2">
      <w:pPr>
        <w:jc w:val="both"/>
        <w:rPr>
          <w:rFonts w:ascii="Bookman Old Style" w:hAnsi="Bookman Old Style" w:cs="Bookman Old Style"/>
          <w:snapToGrid w:val="0"/>
          <w:sz w:val="26"/>
          <w:szCs w:val="26"/>
        </w:rPr>
      </w:pPr>
    </w:p>
    <w:p w:rsidR="00ED18C2" w:rsidRDefault="00ED18C2">
      <w:pPr>
        <w:jc w:val="both"/>
        <w:rPr>
          <w:rFonts w:ascii="Bookman Old Style" w:hAnsi="Bookman Old Style" w:cs="Bookman Old Style"/>
          <w:sz w:val="26"/>
          <w:szCs w:val="26"/>
        </w:rPr>
      </w:pPr>
      <w:r>
        <w:rPr>
          <w:rFonts w:ascii="Bookman Old Style" w:hAnsi="Bookman Old Style" w:cs="Bookman Old Style"/>
          <w:sz w:val="26"/>
          <w:szCs w:val="26"/>
        </w:rPr>
        <w:t xml:space="preserve">This instruction is used to introduce a wrongful death claim under </w:t>
      </w:r>
      <w:r w:rsidR="00F46975">
        <w:rPr>
          <w:rFonts w:ascii="Bookman Old Style" w:hAnsi="Bookman Old Style" w:cs="Bookman Old Style"/>
          <w:sz w:val="26"/>
          <w:szCs w:val="26"/>
        </w:rPr>
        <w:t xml:space="preserve">     </w:t>
      </w:r>
      <w:r>
        <w:rPr>
          <w:rFonts w:ascii="Bookman Old Style" w:hAnsi="Bookman Old Style" w:cs="Bookman Old Style"/>
          <w:sz w:val="26"/>
          <w:szCs w:val="26"/>
        </w:rPr>
        <w:t>AS 09.55.580 and, if appropriate, a survival claim under AS 09.55.570 arising out of the injury which resulted in death.  Where a survival action is asserted for harm to the deceased before his or her death, include the bracketed language.</w:t>
      </w:r>
    </w:p>
    <w:p w:rsidR="00ED18C2" w:rsidRDefault="00ED18C2">
      <w:pPr>
        <w:jc w:val="both"/>
        <w:rPr>
          <w:rFonts w:ascii="Bookman Old Style" w:hAnsi="Bookman Old Style" w:cs="Bookman Old Style"/>
          <w:sz w:val="26"/>
          <w:szCs w:val="26"/>
        </w:rPr>
      </w:pPr>
      <w:r>
        <w:rPr>
          <w:rFonts w:ascii="Bookman Old Style" w:hAnsi="Bookman Old Style" w:cs="Bookman Old Style"/>
          <w:sz w:val="26"/>
          <w:szCs w:val="26"/>
        </w:rPr>
        <w:lastRenderedPageBreak/>
        <w:t xml:space="preserve">This instruction can be used to introduce the wrongful death claim, regardless of whether there are surviving statutory beneficiaries (spouse, children, or other dependents).  If there are beneficiaries, </w:t>
      </w:r>
      <w:r w:rsidR="002F62FB">
        <w:rPr>
          <w:rFonts w:ascii="Bookman Old Style" w:hAnsi="Bookman Old Style" w:cs="Bookman Old Style"/>
          <w:sz w:val="26"/>
          <w:szCs w:val="26"/>
        </w:rPr>
        <w:t>replace</w:t>
      </w:r>
      <w:r>
        <w:rPr>
          <w:rFonts w:ascii="Bookman Old Style" w:hAnsi="Bookman Old Style" w:cs="Bookman Old Style"/>
          <w:sz w:val="26"/>
          <w:szCs w:val="26"/>
        </w:rPr>
        <w:t xml:space="preserve"> the parenthesized references to beneficiaries</w:t>
      </w:r>
      <w:r w:rsidR="002F62FB">
        <w:rPr>
          <w:rFonts w:ascii="Bookman Old Style" w:hAnsi="Bookman Old Style" w:cs="Bookman Old Style"/>
          <w:sz w:val="26"/>
          <w:szCs w:val="26"/>
        </w:rPr>
        <w:t xml:space="preserve"> with the beneficiaries’ names or </w:t>
      </w:r>
      <w:r w:rsidR="00780BD0">
        <w:rPr>
          <w:rFonts w:ascii="Bookman Old Style" w:hAnsi="Bookman Old Style" w:cs="Bookman Old Style"/>
          <w:sz w:val="26"/>
          <w:szCs w:val="26"/>
        </w:rPr>
        <w:t>descriptions</w:t>
      </w:r>
      <w:r w:rsidR="00E34B28">
        <w:rPr>
          <w:rFonts w:ascii="Bookman Old Style" w:hAnsi="Bookman Old Style" w:cs="Bookman Old Style"/>
          <w:sz w:val="26"/>
          <w:szCs w:val="26"/>
        </w:rPr>
        <w:t>, e</w:t>
      </w:r>
      <w:r w:rsidR="00D31A85">
        <w:rPr>
          <w:rFonts w:ascii="Bookman Old Style" w:hAnsi="Bookman Old Style" w:cs="Bookman Old Style"/>
          <w:sz w:val="26"/>
          <w:szCs w:val="26"/>
        </w:rPr>
        <w:t>.</w:t>
      </w:r>
      <w:r w:rsidR="00E34B28">
        <w:rPr>
          <w:rFonts w:ascii="Bookman Old Style" w:hAnsi="Bookman Old Style" w:cs="Bookman Old Style"/>
          <w:sz w:val="26"/>
          <w:szCs w:val="26"/>
        </w:rPr>
        <w:t>g.</w:t>
      </w:r>
      <w:r w:rsidR="00D31A85">
        <w:rPr>
          <w:rFonts w:ascii="Bookman Old Style" w:hAnsi="Bookman Old Style" w:cs="Bookman Old Style"/>
          <w:sz w:val="26"/>
          <w:szCs w:val="26"/>
        </w:rPr>
        <w:t>, “spouse,” “child,” “dependent.”</w:t>
      </w:r>
      <w:r>
        <w:rPr>
          <w:rFonts w:ascii="Bookman Old Style" w:hAnsi="Bookman Old Style" w:cs="Bookman Old Style"/>
          <w:sz w:val="26"/>
          <w:szCs w:val="26"/>
        </w:rPr>
        <w:t>.  If there are no statutory beneficiaries, insert the parenthesized references to the deceased’s estate.</w:t>
      </w:r>
    </w:p>
    <w:p w:rsidR="00ED18C2" w:rsidRDefault="00ED18C2">
      <w:pPr>
        <w:jc w:val="both"/>
        <w:rPr>
          <w:rFonts w:ascii="Bookman Old Style" w:hAnsi="Bookman Old Style" w:cs="Bookman Old Style"/>
          <w:sz w:val="26"/>
          <w:szCs w:val="26"/>
        </w:rPr>
      </w:pPr>
    </w:p>
    <w:p w:rsidR="00ED18C2" w:rsidRDefault="00ED18C2">
      <w:pPr>
        <w:pStyle w:val="BodyText2"/>
        <w:jc w:val="both"/>
        <w:rPr>
          <w:b w:val="0"/>
          <w:bCs w:val="0"/>
          <w:u w:val="none"/>
        </w:rPr>
      </w:pPr>
      <w:r>
        <w:rPr>
          <w:b w:val="0"/>
          <w:bCs w:val="0"/>
          <w:u w:val="none"/>
        </w:rPr>
        <w:t xml:space="preserve">This instruction must be followed by the appropriate instruction(s) setting forth the substantive tort theory asserted by plaintiff, e.g., Instruction 03.01 for negligence and 07.01 for strict liability, substituting the  </w:t>
      </w:r>
      <w:r w:rsidR="006D6E82">
        <w:rPr>
          <w:b w:val="0"/>
          <w:bCs w:val="0"/>
          <w:u w:val="none"/>
        </w:rPr>
        <w:t>deceased’s name</w:t>
      </w:r>
      <w:r>
        <w:rPr>
          <w:b w:val="0"/>
          <w:bCs w:val="0"/>
          <w:u w:val="none"/>
        </w:rPr>
        <w:t xml:space="preserve"> for "plaintiff."</w:t>
      </w:r>
      <w:r w:rsidR="006D6E82">
        <w:rPr>
          <w:b w:val="0"/>
          <w:bCs w:val="0"/>
          <w:u w:val="none"/>
        </w:rPr>
        <w:t xml:space="preserve"> </w:t>
      </w:r>
      <w:r w:rsidR="00057CB4">
        <w:rPr>
          <w:b w:val="0"/>
          <w:bCs w:val="0"/>
          <w:u w:val="none"/>
        </w:rPr>
        <w:t>With respect to damages for the decedent’s pain and suffering, see Instruction 04.04.</w:t>
      </w:r>
    </w:p>
    <w:p w:rsidR="00ED18C2" w:rsidRDefault="0045374F" w:rsidP="0045374F">
      <w:pPr>
        <w:tabs>
          <w:tab w:val="left" w:pos="2369"/>
        </w:tabs>
        <w:jc w:val="both"/>
        <w:rPr>
          <w:rFonts w:ascii="Bookman Old Style" w:hAnsi="Bookman Old Style" w:cs="Bookman Old Style"/>
          <w:sz w:val="26"/>
          <w:szCs w:val="26"/>
        </w:rPr>
      </w:pPr>
      <w:r>
        <w:rPr>
          <w:rFonts w:ascii="Bookman Old Style" w:hAnsi="Bookman Old Style" w:cs="Bookman Old Style"/>
          <w:sz w:val="26"/>
          <w:szCs w:val="26"/>
        </w:rPr>
        <w:tab/>
      </w:r>
    </w:p>
    <w:p w:rsidR="00ED18C2" w:rsidRDefault="00ED18C2">
      <w:pPr>
        <w:rPr>
          <w:rFonts w:ascii="Bookman Old Style" w:hAnsi="Bookman Old Style" w:cs="Bookman Old Style"/>
          <w:sz w:val="26"/>
          <w:szCs w:val="26"/>
        </w:rPr>
      </w:pPr>
    </w:p>
    <w:p w:rsidR="00ED18C2" w:rsidRPr="00761D2C" w:rsidRDefault="00ED18C2">
      <w:pPr>
        <w:pStyle w:val="Heading2"/>
        <w:spacing w:line="240" w:lineRule="auto"/>
        <w:rPr>
          <w:b/>
          <w:u w:val="none"/>
        </w:rPr>
      </w:pPr>
      <w:r w:rsidRPr="00761D2C">
        <w:rPr>
          <w:b/>
          <w:u w:val="none"/>
        </w:rPr>
        <w:t>Comment</w:t>
      </w:r>
    </w:p>
    <w:p w:rsidR="00ED18C2" w:rsidRDefault="00ED18C2">
      <w:pPr>
        <w:rPr>
          <w:rFonts w:ascii="Bookman Old Style" w:hAnsi="Bookman Old Style" w:cs="Bookman Old Style"/>
          <w:sz w:val="26"/>
          <w:szCs w:val="26"/>
        </w:rPr>
      </w:pPr>
    </w:p>
    <w:p w:rsidR="00ED18C2" w:rsidRPr="00170588" w:rsidRDefault="00ED18C2">
      <w:pPr>
        <w:pStyle w:val="Heading3"/>
        <w:spacing w:line="240" w:lineRule="auto"/>
        <w:rPr>
          <w:b w:val="0"/>
        </w:rPr>
      </w:pPr>
      <w:r w:rsidRPr="00170588">
        <w:rPr>
          <w:b w:val="0"/>
        </w:rPr>
        <w:t>The Statutes</w:t>
      </w:r>
    </w:p>
    <w:p w:rsidR="00ED18C2" w:rsidRDefault="00ED18C2">
      <w:pPr>
        <w:rPr>
          <w:rFonts w:ascii="Bookman Old Style" w:hAnsi="Bookman Old Style" w:cs="Bookman Old Style"/>
          <w:sz w:val="26"/>
          <w:szCs w:val="26"/>
        </w:rPr>
      </w:pPr>
    </w:p>
    <w:p w:rsidR="00ED18C2" w:rsidRDefault="00ED18C2">
      <w:pPr>
        <w:pStyle w:val="BodyText2"/>
        <w:jc w:val="both"/>
        <w:rPr>
          <w:b w:val="0"/>
          <w:bCs w:val="0"/>
          <w:u w:val="none"/>
        </w:rPr>
      </w:pPr>
      <w:r>
        <w:rPr>
          <w:b w:val="0"/>
          <w:bCs w:val="0"/>
          <w:u w:val="none"/>
        </w:rPr>
        <w:t>AS 09.55.580 provides a cause of action when the death of a person is caused by the "wrongful act or omission" of another person.  The cause of action is substantively derived from the cause of action which would have been available to the deceased had he or she lived.  The action is filed by the personal representative of the deceased's estate.  The damages and beneficiaries of the cause of action are defined in the statute.</w:t>
      </w:r>
    </w:p>
    <w:p w:rsidR="00ED18C2" w:rsidRDefault="00ED18C2">
      <w:pPr>
        <w:rPr>
          <w:rFonts w:ascii="Bookman Old Style" w:hAnsi="Bookman Old Style" w:cs="Bookman Old Style"/>
          <w:sz w:val="26"/>
          <w:szCs w:val="26"/>
        </w:rPr>
      </w:pPr>
    </w:p>
    <w:p w:rsidR="00ED18C2" w:rsidRDefault="00ED18C2">
      <w:pPr>
        <w:pStyle w:val="BodyText2"/>
        <w:jc w:val="both"/>
        <w:rPr>
          <w:b w:val="0"/>
          <w:bCs w:val="0"/>
          <w:u w:val="none"/>
        </w:rPr>
      </w:pPr>
      <w:r>
        <w:rPr>
          <w:b w:val="0"/>
          <w:bCs w:val="0"/>
          <w:u w:val="none"/>
        </w:rPr>
        <w:t>AS 09.55.570 provides that all causes of action except defamation survive the death of the injured party and may be brought by the deceased's personal representative.</w:t>
      </w:r>
    </w:p>
    <w:p w:rsidR="00ED18C2" w:rsidRDefault="00ED18C2">
      <w:pPr>
        <w:rPr>
          <w:rFonts w:ascii="Bookman Old Style" w:hAnsi="Bookman Old Style" w:cs="Bookman Old Style"/>
          <w:sz w:val="26"/>
          <w:szCs w:val="26"/>
        </w:rPr>
      </w:pPr>
    </w:p>
    <w:p w:rsidR="00ED18C2" w:rsidRPr="007D54B9" w:rsidRDefault="00ED18C2">
      <w:pPr>
        <w:jc w:val="both"/>
        <w:rPr>
          <w:rFonts w:ascii="Bookman Old Style" w:hAnsi="Bookman Old Style" w:cs="Bookman Old Style"/>
          <w:sz w:val="26"/>
          <w:szCs w:val="26"/>
        </w:rPr>
      </w:pPr>
      <w:r>
        <w:rPr>
          <w:rFonts w:ascii="Bookman Old Style" w:hAnsi="Bookman Old Style" w:cs="Bookman Old Style"/>
          <w:sz w:val="26"/>
          <w:szCs w:val="26"/>
        </w:rPr>
        <w:t xml:space="preserve">AS 09.15.010 provides that a parent or guardian may maintain an action for the injury or death of a minor child or ward. </w:t>
      </w:r>
      <w:r w:rsidR="00FC0436">
        <w:rPr>
          <w:rFonts w:ascii="Bookman Old Style" w:hAnsi="Bookman Old Style" w:cs="Bookman Old Style"/>
          <w:sz w:val="26"/>
          <w:szCs w:val="26"/>
        </w:rPr>
        <w:t xml:space="preserve"> In </w:t>
      </w:r>
      <w:r w:rsidR="00FC0436" w:rsidRPr="0045374F">
        <w:rPr>
          <w:rFonts w:ascii="Bookman Old Style" w:hAnsi="Bookman Old Style" w:cs="Bookman Old Style"/>
          <w:i/>
          <w:sz w:val="26"/>
          <w:szCs w:val="26"/>
        </w:rPr>
        <w:t>Gillispie v. Beta Construction Co.</w:t>
      </w:r>
      <w:r w:rsidR="00FC0436">
        <w:rPr>
          <w:rFonts w:ascii="Bookman Old Style" w:hAnsi="Bookman Old Style" w:cs="Bookman Old Style"/>
          <w:sz w:val="26"/>
          <w:szCs w:val="26"/>
        </w:rPr>
        <w:t>, 842 P.2d 1272 (Alaska 1992), the supreme court held that the statute creates a separate, independent parental cause of action by which parents may recover for damages, such as loss of society, which are not recoverable under the wrongful death statute, AS 09.55.580.</w:t>
      </w:r>
      <w:r w:rsidR="009E4743">
        <w:rPr>
          <w:rFonts w:ascii="Bookman Old Style" w:hAnsi="Bookman Old Style" w:cs="Bookman Old Style"/>
          <w:sz w:val="26"/>
          <w:szCs w:val="26"/>
        </w:rPr>
        <w:t xml:space="preserve">  Such damages are limited, however, to the period of time before the child would have reached the age of majority.  </w:t>
      </w:r>
      <w:r w:rsidR="009E4743" w:rsidRPr="0045374F">
        <w:rPr>
          <w:rFonts w:ascii="Bookman Old Style" w:hAnsi="Bookman Old Style" w:cs="Bookman Old Style"/>
          <w:i/>
          <w:sz w:val="26"/>
          <w:szCs w:val="26"/>
        </w:rPr>
        <w:t>See Sowinski v. Walker</w:t>
      </w:r>
      <w:r w:rsidR="009E4743" w:rsidRPr="00F46975">
        <w:rPr>
          <w:rFonts w:ascii="Bookman Old Style" w:hAnsi="Bookman Old Style" w:cs="Bookman Old Style"/>
          <w:sz w:val="26"/>
          <w:szCs w:val="26"/>
        </w:rPr>
        <w:t>, 198 P.3d 1134, 1163 (Alaska 2008)</w:t>
      </w:r>
      <w:r w:rsidR="009E4743" w:rsidRPr="007D54B9">
        <w:rPr>
          <w:rFonts w:ascii="Bookman Old Style" w:hAnsi="Bookman Old Style" w:cs="Bookman Old Style"/>
          <w:sz w:val="26"/>
          <w:szCs w:val="26"/>
        </w:rPr>
        <w:t xml:space="preserve">.  The supreme court in </w:t>
      </w:r>
      <w:r w:rsidR="009E4743" w:rsidRPr="00E6681A">
        <w:rPr>
          <w:rFonts w:ascii="Bookman Old Style" w:hAnsi="Bookman Old Style" w:cs="Bookman Old Style"/>
          <w:i/>
          <w:sz w:val="26"/>
          <w:szCs w:val="26"/>
        </w:rPr>
        <w:t>Sowinski</w:t>
      </w:r>
      <w:r w:rsidR="009E4743" w:rsidRPr="007D54B9">
        <w:rPr>
          <w:rFonts w:ascii="Bookman Old Style" w:hAnsi="Bookman Old Style" w:cs="Bookman Old Style"/>
          <w:sz w:val="26"/>
          <w:szCs w:val="26"/>
        </w:rPr>
        <w:t xml:space="preserve"> declined to apply AS 09.15.010 to the siblings of a wrongful death victim. </w:t>
      </w:r>
    </w:p>
    <w:p w:rsidR="00ED18C2" w:rsidRPr="007D54B9" w:rsidRDefault="00ED18C2">
      <w:pPr>
        <w:rPr>
          <w:rFonts w:ascii="Bookman Old Style" w:hAnsi="Bookman Old Style" w:cs="Bookman Old Style"/>
          <w:sz w:val="26"/>
          <w:szCs w:val="26"/>
        </w:rPr>
      </w:pPr>
    </w:p>
    <w:p w:rsidR="00ED18C2" w:rsidRPr="00ED18C2" w:rsidRDefault="00ED18C2" w:rsidP="004B5429">
      <w:pPr>
        <w:jc w:val="both"/>
        <w:rPr>
          <w:rFonts w:ascii="Bookman Old Style" w:hAnsi="Bookman Old Style" w:cs="Bookman Old Style"/>
          <w:sz w:val="26"/>
          <w:szCs w:val="26"/>
        </w:rPr>
      </w:pPr>
      <w:r>
        <w:rPr>
          <w:rFonts w:ascii="Bookman Old Style" w:hAnsi="Bookman Old Style" w:cs="Bookman Old Style"/>
          <w:sz w:val="26"/>
          <w:szCs w:val="26"/>
        </w:rPr>
        <w:lastRenderedPageBreak/>
        <w:t xml:space="preserve">The supreme court has confirmed that a person who is a statutory beneficiary under AS 09.55.580 and entitled to recover wrongful death damages under that statute may also be the personal representative of the decedent's estate and recover in the same action for the decedent's pre-death pain and suffering under the survival statute, AS 09.55.570.  </w:t>
      </w:r>
      <w:r w:rsidRPr="0045374F">
        <w:rPr>
          <w:rFonts w:ascii="Bookman Old Style" w:hAnsi="Bookman Old Style" w:cs="Bookman Old Style"/>
          <w:i/>
          <w:sz w:val="26"/>
          <w:szCs w:val="26"/>
        </w:rPr>
        <w:t>North Slope Borough v. Brower</w:t>
      </w:r>
      <w:r>
        <w:rPr>
          <w:rFonts w:ascii="Bookman Old Style" w:hAnsi="Bookman Old Style" w:cs="Bookman Old Style"/>
          <w:sz w:val="26"/>
          <w:szCs w:val="26"/>
        </w:rPr>
        <w:t>, 215 P.3d 308, 312 (Alaska 2009).</w:t>
      </w:r>
    </w:p>
    <w:p w:rsidR="00FC0436" w:rsidRDefault="00FC0436">
      <w:pPr>
        <w:pStyle w:val="Heading3"/>
        <w:spacing w:line="240" w:lineRule="auto"/>
      </w:pPr>
    </w:p>
    <w:p w:rsidR="00ED18C2" w:rsidRPr="00170588" w:rsidRDefault="00ED18C2">
      <w:pPr>
        <w:pStyle w:val="Heading3"/>
        <w:spacing w:line="240" w:lineRule="auto"/>
        <w:rPr>
          <w:b w:val="0"/>
        </w:rPr>
      </w:pPr>
      <w:r w:rsidRPr="00170588">
        <w:rPr>
          <w:b w:val="0"/>
        </w:rPr>
        <w:t>Wrongful Death: Statutory v. Common Law Action</w:t>
      </w:r>
    </w:p>
    <w:p w:rsidR="00ED18C2" w:rsidRDefault="00ED18C2">
      <w:pPr>
        <w:rPr>
          <w:rFonts w:ascii="Bookman Old Style" w:hAnsi="Bookman Old Style" w:cs="Bookman Old Style"/>
          <w:sz w:val="26"/>
          <w:szCs w:val="26"/>
        </w:rPr>
      </w:pPr>
    </w:p>
    <w:p w:rsidR="00ED18C2" w:rsidRDefault="00ED18C2">
      <w:pPr>
        <w:jc w:val="both"/>
        <w:rPr>
          <w:rFonts w:ascii="Bookman Old Style" w:hAnsi="Bookman Old Style" w:cs="Bookman Old Style"/>
          <w:sz w:val="26"/>
          <w:szCs w:val="26"/>
        </w:rPr>
      </w:pPr>
      <w:r>
        <w:rPr>
          <w:rFonts w:ascii="Bookman Old Style" w:hAnsi="Bookman Old Style" w:cs="Bookman Old Style"/>
          <w:sz w:val="26"/>
          <w:szCs w:val="26"/>
        </w:rPr>
        <w:t xml:space="preserve">In 1977, the Alaska Supreme Court expressly recognized that wrongful death actions </w:t>
      </w:r>
      <w:r w:rsidR="00FC0436">
        <w:rPr>
          <w:rFonts w:ascii="Bookman Old Style" w:hAnsi="Bookman Old Style" w:cs="Bookman Old Style"/>
          <w:sz w:val="26"/>
          <w:szCs w:val="26"/>
        </w:rPr>
        <w:t>a</w:t>
      </w:r>
      <w:r>
        <w:rPr>
          <w:rFonts w:ascii="Bookman Old Style" w:hAnsi="Bookman Old Style" w:cs="Bookman Old Style"/>
          <w:sz w:val="26"/>
          <w:szCs w:val="26"/>
        </w:rPr>
        <w:t xml:space="preserve">rise by "legislative fiat" and therefore must be strictly construed.  On that basis, the court declined to expand the class of "other dependents" to include a parent who might have become dependent in the future upon her deceased child but who was not dependent as of the child's date of death.  </w:t>
      </w:r>
      <w:r w:rsidRPr="0045374F">
        <w:rPr>
          <w:rFonts w:ascii="Bookman Old Style" w:hAnsi="Bookman Old Style" w:cs="Bookman Old Style"/>
          <w:i/>
          <w:sz w:val="26"/>
          <w:szCs w:val="26"/>
        </w:rPr>
        <w:t>In re Estate of Pushruk</w:t>
      </w:r>
      <w:r>
        <w:rPr>
          <w:rFonts w:ascii="Bookman Old Style" w:hAnsi="Bookman Old Style" w:cs="Bookman Old Style"/>
          <w:sz w:val="26"/>
          <w:szCs w:val="26"/>
        </w:rPr>
        <w:t xml:space="preserve">, 562 P.2d 329, 332 (Alaska 1977).  Similarly, two United States District Courts construed AS 09.55.580 narrowly on the ground that it created a new action not recognized at common law.  </w:t>
      </w:r>
      <w:r w:rsidRPr="0045374F">
        <w:rPr>
          <w:rFonts w:ascii="Bookman Old Style" w:hAnsi="Bookman Old Style" w:cs="Bookman Old Style"/>
          <w:i/>
          <w:sz w:val="26"/>
          <w:szCs w:val="26"/>
        </w:rPr>
        <w:t>State Farm Mut. Ins. Co. v. Wainscott</w:t>
      </w:r>
      <w:r>
        <w:rPr>
          <w:rFonts w:ascii="Bookman Old Style" w:hAnsi="Bookman Old Style" w:cs="Bookman Old Style"/>
          <w:sz w:val="26"/>
          <w:szCs w:val="26"/>
        </w:rPr>
        <w:t xml:space="preserve">, 439 F. Supp. 840, 842 (D. Alaska 1977) ("statute creates an entirely new cause of action for wrongful death"); </w:t>
      </w:r>
      <w:r w:rsidRPr="0045374F">
        <w:rPr>
          <w:rFonts w:ascii="Bookman Old Style" w:hAnsi="Bookman Old Style" w:cs="Bookman Old Style"/>
          <w:i/>
          <w:sz w:val="26"/>
          <w:szCs w:val="26"/>
        </w:rPr>
        <w:t>Bowen v. Pan Am. World Airways, Inc</w:t>
      </w:r>
      <w:r>
        <w:rPr>
          <w:rFonts w:ascii="Bookman Old Style" w:hAnsi="Bookman Old Style" w:cs="Bookman Old Style"/>
          <w:sz w:val="26"/>
          <w:szCs w:val="26"/>
          <w:u w:val="single"/>
        </w:rPr>
        <w:t>.</w:t>
      </w:r>
      <w:r>
        <w:rPr>
          <w:rFonts w:ascii="Bookman Old Style" w:hAnsi="Bookman Old Style" w:cs="Bookman Old Style"/>
          <w:sz w:val="26"/>
          <w:szCs w:val="26"/>
        </w:rPr>
        <w:t>, 474 F. Supp. 563, 565 (S.D.N.Y. 1979) ("clear that Alaska has recognized no common law claim for wrongful death . . . the statutory remedy in that state has been the exclusive one").</w:t>
      </w:r>
    </w:p>
    <w:p w:rsidR="00ED18C2" w:rsidRDefault="00ED18C2">
      <w:pPr>
        <w:rPr>
          <w:rFonts w:ascii="Bookman Old Style" w:hAnsi="Bookman Old Style" w:cs="Bookman Old Style"/>
          <w:sz w:val="26"/>
          <w:szCs w:val="26"/>
        </w:rPr>
      </w:pPr>
    </w:p>
    <w:p w:rsidR="00ED18C2" w:rsidRDefault="00ED18C2">
      <w:pPr>
        <w:jc w:val="both"/>
        <w:rPr>
          <w:rFonts w:ascii="Bookman Old Style" w:hAnsi="Bookman Old Style" w:cs="Bookman Old Style"/>
          <w:sz w:val="26"/>
          <w:szCs w:val="26"/>
        </w:rPr>
      </w:pPr>
      <w:r>
        <w:rPr>
          <w:rFonts w:ascii="Bookman Old Style" w:hAnsi="Bookman Old Style" w:cs="Bookman Old Style"/>
          <w:sz w:val="26"/>
          <w:szCs w:val="26"/>
        </w:rPr>
        <w:t>In 1979, however, the supreme court construed the statute broadly with respect to the period of limitations.  The court held that the time limit for filing a wrongful death action is tolled by the minority of the statutory beneficiaries although the statute expressly sets forth a two</w:t>
      </w:r>
      <w:r>
        <w:rPr>
          <w:rFonts w:ascii="Bookman Old Style" w:hAnsi="Bookman Old Style" w:cs="Bookman Old Style"/>
          <w:sz w:val="26"/>
          <w:szCs w:val="26"/>
        </w:rPr>
        <w:noBreakHyphen/>
        <w:t xml:space="preserve">year period of limitations with no provision for tolling.  </w:t>
      </w:r>
      <w:r w:rsidRPr="0045374F">
        <w:rPr>
          <w:rFonts w:ascii="Bookman Old Style" w:hAnsi="Bookman Old Style" w:cs="Bookman Old Style"/>
          <w:i/>
          <w:sz w:val="26"/>
          <w:szCs w:val="26"/>
        </w:rPr>
        <w:t>Haakanson v. Wakefield Seafoods, Inc.,</w:t>
      </w:r>
      <w:r>
        <w:rPr>
          <w:rFonts w:ascii="Bookman Old Style" w:hAnsi="Bookman Old Style" w:cs="Bookman Old Style"/>
          <w:sz w:val="26"/>
          <w:szCs w:val="26"/>
        </w:rPr>
        <w:t xml:space="preserve"> 600 P.2d 1087 (Alaska 1979).  The court expressly stated that AS 09.55.580 is not in derogation of the common law of Alaska because, if the statute did not exist, the court would in all probability recognize a common law right of action for wrongful death as some other jurisdictions have done.  </w:t>
      </w:r>
      <w:r w:rsidRPr="0045374F">
        <w:rPr>
          <w:rFonts w:ascii="Bookman Old Style" w:hAnsi="Bookman Old Style" w:cs="Bookman Old Style"/>
          <w:i/>
          <w:sz w:val="26"/>
          <w:szCs w:val="26"/>
        </w:rPr>
        <w:t>Id.</w:t>
      </w:r>
      <w:r>
        <w:rPr>
          <w:rFonts w:ascii="Bookman Old Style" w:hAnsi="Bookman Old Style" w:cs="Bookman Old Style"/>
          <w:sz w:val="26"/>
          <w:szCs w:val="26"/>
        </w:rPr>
        <w:t xml:space="preserve"> at 1092 n.</w:t>
      </w:r>
      <w:r w:rsidR="00FC0436">
        <w:rPr>
          <w:rFonts w:ascii="Bookman Old Style" w:hAnsi="Bookman Old Style" w:cs="Bookman Old Style"/>
          <w:sz w:val="26"/>
          <w:szCs w:val="26"/>
        </w:rPr>
        <w:t xml:space="preserve"> </w:t>
      </w:r>
      <w:r>
        <w:rPr>
          <w:rFonts w:ascii="Bookman Old Style" w:hAnsi="Bookman Old Style" w:cs="Bookman Old Style"/>
          <w:sz w:val="26"/>
          <w:szCs w:val="26"/>
        </w:rPr>
        <w:t xml:space="preserve">ll.  While recognizing that an action for wrongful death is statutory, the court "found no legislative intent to treat it differently than the common law tort actions." </w:t>
      </w:r>
      <w:r w:rsidRPr="0045374F">
        <w:rPr>
          <w:rFonts w:ascii="Bookman Old Style" w:hAnsi="Bookman Old Style" w:cs="Bookman Old Style"/>
          <w:i/>
          <w:sz w:val="26"/>
          <w:szCs w:val="26"/>
        </w:rPr>
        <w:t>Id.</w:t>
      </w:r>
      <w:r>
        <w:rPr>
          <w:rFonts w:ascii="Bookman Old Style" w:hAnsi="Bookman Old Style" w:cs="Bookman Old Style"/>
          <w:sz w:val="26"/>
          <w:szCs w:val="26"/>
        </w:rPr>
        <w:t xml:space="preserve"> at 1092.  The court again construed the statute broadly in </w:t>
      </w:r>
      <w:r w:rsidRPr="0045374F">
        <w:rPr>
          <w:rFonts w:ascii="Bookman Old Style" w:hAnsi="Bookman Old Style" w:cs="Bookman Old Style"/>
          <w:i/>
          <w:sz w:val="26"/>
          <w:szCs w:val="26"/>
        </w:rPr>
        <w:t>Tommy's Elbow Room, Inc. v. Kavorkian</w:t>
      </w:r>
      <w:r>
        <w:rPr>
          <w:rFonts w:ascii="Bookman Old Style" w:hAnsi="Bookman Old Style" w:cs="Bookman Old Style"/>
          <w:sz w:val="26"/>
          <w:szCs w:val="26"/>
        </w:rPr>
        <w:t>, 727 P.2d 1038, 1048 (Alaska 1986), to permit recovery of punitive damages although punitive damages are not among the categories of recoverable damages enumerated in the statute.</w:t>
      </w:r>
    </w:p>
    <w:p w:rsidR="00ED18C2" w:rsidRDefault="00ED18C2">
      <w:pPr>
        <w:rPr>
          <w:rFonts w:ascii="Bookman Old Style" w:hAnsi="Bookman Old Style" w:cs="Bookman Old Style"/>
          <w:sz w:val="26"/>
          <w:szCs w:val="26"/>
        </w:rPr>
      </w:pPr>
    </w:p>
    <w:p w:rsidR="004B5429" w:rsidRDefault="004B5429">
      <w:pPr>
        <w:jc w:val="center"/>
        <w:rPr>
          <w:rFonts w:ascii="Bookman Old Style" w:hAnsi="Bookman Old Style" w:cs="Bookman Old Style"/>
          <w:b/>
          <w:bCs/>
          <w:sz w:val="26"/>
          <w:szCs w:val="26"/>
          <w:u w:val="single"/>
        </w:rPr>
      </w:pPr>
    </w:p>
    <w:p w:rsidR="00ED18C2" w:rsidRPr="00170588" w:rsidRDefault="00ED18C2">
      <w:pPr>
        <w:jc w:val="center"/>
        <w:rPr>
          <w:rFonts w:ascii="Bookman Old Style" w:hAnsi="Bookman Old Style" w:cs="Bookman Old Style"/>
          <w:bCs/>
          <w:sz w:val="26"/>
          <w:szCs w:val="26"/>
        </w:rPr>
      </w:pPr>
      <w:r w:rsidRPr="00170588">
        <w:rPr>
          <w:rFonts w:ascii="Bookman Old Style" w:hAnsi="Bookman Old Style" w:cs="Bookman Old Style"/>
          <w:bCs/>
          <w:sz w:val="26"/>
          <w:szCs w:val="26"/>
          <w:u w:val="single"/>
        </w:rPr>
        <w:lastRenderedPageBreak/>
        <w:t>Recovery for Beneficiaries</w:t>
      </w:r>
    </w:p>
    <w:p w:rsidR="00ED18C2" w:rsidRDefault="00ED18C2">
      <w:pPr>
        <w:rPr>
          <w:rFonts w:ascii="Bookman Old Style" w:hAnsi="Bookman Old Style" w:cs="Bookman Old Style"/>
          <w:sz w:val="26"/>
          <w:szCs w:val="26"/>
        </w:rPr>
      </w:pPr>
    </w:p>
    <w:p w:rsidR="00ED18C2" w:rsidRDefault="00ED18C2">
      <w:pPr>
        <w:jc w:val="both"/>
        <w:rPr>
          <w:rFonts w:ascii="Bookman Old Style" w:hAnsi="Bookman Old Style" w:cs="Bookman Old Style"/>
          <w:sz w:val="26"/>
          <w:szCs w:val="26"/>
        </w:rPr>
      </w:pPr>
      <w:r>
        <w:rPr>
          <w:rFonts w:ascii="Bookman Old Style" w:hAnsi="Bookman Old Style" w:cs="Bookman Old Style"/>
          <w:sz w:val="26"/>
          <w:szCs w:val="26"/>
        </w:rPr>
        <w:t xml:space="preserve">If there are statutory beneficiaries, AS 09.55.580 provides that any recovery shall be "exclusively for their benefit." This exclusivity is supported by </w:t>
      </w:r>
      <w:r w:rsidRPr="0045374F">
        <w:rPr>
          <w:rFonts w:ascii="Bookman Old Style" w:hAnsi="Bookman Old Style" w:cs="Bookman Old Style"/>
          <w:i/>
          <w:sz w:val="26"/>
          <w:szCs w:val="26"/>
        </w:rPr>
        <w:t>Engebreth v. Moore</w:t>
      </w:r>
      <w:r>
        <w:rPr>
          <w:rFonts w:ascii="Bookman Old Style" w:hAnsi="Bookman Old Style" w:cs="Bookman Old Style"/>
          <w:sz w:val="26"/>
          <w:szCs w:val="26"/>
        </w:rPr>
        <w:t xml:space="preserve">, 567 P.2d 305, 306 (Alaska 1977).  On grounds of res judicata, the court affirmed dismissal of an action challenging the personal representative's allocation of a wrongful death settlement.  The court cited with apparent approval the superior court's non-appealed judgment in the earlier case to the effect that no persons other than the wife and children of the deceased were entitled to receive any portion of the award.  Because there is no indication of any "other dependents" in </w:t>
      </w:r>
      <w:r w:rsidRPr="0045374F">
        <w:rPr>
          <w:rFonts w:ascii="Bookman Old Style" w:hAnsi="Bookman Old Style" w:cs="Bookman Old Style"/>
          <w:i/>
          <w:sz w:val="26"/>
          <w:szCs w:val="26"/>
        </w:rPr>
        <w:t>Engebreth</w:t>
      </w:r>
      <w:r>
        <w:rPr>
          <w:rFonts w:ascii="Bookman Old Style" w:hAnsi="Bookman Old Style" w:cs="Bookman Old Style"/>
          <w:sz w:val="26"/>
          <w:szCs w:val="26"/>
        </w:rPr>
        <w:t xml:space="preserve">, it </w:t>
      </w:r>
      <w:r w:rsidR="009E4743">
        <w:rPr>
          <w:rFonts w:ascii="Bookman Old Style" w:hAnsi="Bookman Old Style" w:cs="Bookman Old Style"/>
          <w:sz w:val="26"/>
          <w:szCs w:val="26"/>
        </w:rPr>
        <w:t>is consistent</w:t>
      </w:r>
      <w:r>
        <w:rPr>
          <w:rFonts w:ascii="Bookman Old Style" w:hAnsi="Bookman Old Style" w:cs="Bookman Old Style"/>
          <w:sz w:val="26"/>
          <w:szCs w:val="26"/>
        </w:rPr>
        <w:t xml:space="preserve"> with the court's implicit recognition in </w:t>
      </w:r>
      <w:r w:rsidRPr="0045374F">
        <w:rPr>
          <w:rFonts w:ascii="Bookman Old Style" w:hAnsi="Bookman Old Style" w:cs="Bookman Old Style"/>
          <w:i/>
          <w:sz w:val="26"/>
          <w:szCs w:val="26"/>
        </w:rPr>
        <w:t>Greer Tank &amp; Welding, Inc. v. Boettger</w:t>
      </w:r>
      <w:r>
        <w:rPr>
          <w:rFonts w:ascii="Bookman Old Style" w:hAnsi="Bookman Old Style" w:cs="Bookman Old Style"/>
          <w:sz w:val="26"/>
          <w:szCs w:val="26"/>
        </w:rPr>
        <w:t>, 609 P.2d 548 (Alaska 1980), that "other dependents" can recover in addition to a surviving spouse or child.</w:t>
      </w:r>
    </w:p>
    <w:p w:rsidR="00ED18C2" w:rsidRDefault="00ED18C2">
      <w:pPr>
        <w:rPr>
          <w:rFonts w:ascii="Bookman Old Style" w:hAnsi="Bookman Old Style" w:cs="Bookman Old Style"/>
          <w:sz w:val="26"/>
          <w:szCs w:val="26"/>
        </w:rPr>
      </w:pPr>
    </w:p>
    <w:p w:rsidR="00ED18C2" w:rsidRDefault="00ED18C2">
      <w:pPr>
        <w:jc w:val="both"/>
        <w:rPr>
          <w:rFonts w:ascii="Bookman Old Style" w:hAnsi="Bookman Old Style" w:cs="Bookman Old Style"/>
          <w:sz w:val="26"/>
          <w:szCs w:val="26"/>
        </w:rPr>
      </w:pPr>
      <w:r>
        <w:rPr>
          <w:rFonts w:ascii="Bookman Old Style" w:hAnsi="Bookman Old Style" w:cs="Bookman Old Style"/>
          <w:sz w:val="26"/>
          <w:szCs w:val="26"/>
        </w:rPr>
        <w:t xml:space="preserve">The wrongful death statute contemplates that a wrongful death action includes the claims of all statutory beneficiaries.  Therefore, a judgment of dismissal of the entire lawsuit extinguishes the claims of all beneficiaries.  </w:t>
      </w:r>
      <w:r w:rsidRPr="0045374F">
        <w:rPr>
          <w:rFonts w:ascii="Bookman Old Style" w:hAnsi="Bookman Old Style" w:cs="Bookman Old Style"/>
          <w:i/>
          <w:sz w:val="26"/>
          <w:szCs w:val="26"/>
        </w:rPr>
        <w:t>Mitchell v. Mitchell</w:t>
      </w:r>
      <w:r>
        <w:rPr>
          <w:rFonts w:ascii="Bookman Old Style" w:hAnsi="Bookman Old Style" w:cs="Bookman Old Style"/>
          <w:sz w:val="26"/>
          <w:szCs w:val="26"/>
        </w:rPr>
        <w:t>, 655 P.2d 748, 752</w:t>
      </w:r>
      <w:r>
        <w:rPr>
          <w:rFonts w:ascii="Bookman Old Style" w:hAnsi="Bookman Old Style" w:cs="Bookman Old Style"/>
          <w:sz w:val="26"/>
          <w:szCs w:val="26"/>
        </w:rPr>
        <w:noBreakHyphen/>
        <w:t>53 (Alaska 1982).</w:t>
      </w:r>
    </w:p>
    <w:p w:rsidR="00395AA7" w:rsidRDefault="00395AA7">
      <w:pPr>
        <w:jc w:val="both"/>
        <w:rPr>
          <w:rFonts w:ascii="Bookman Old Style" w:hAnsi="Bookman Old Style" w:cs="Bookman Old Style"/>
          <w:sz w:val="26"/>
          <w:szCs w:val="26"/>
        </w:rPr>
      </w:pPr>
    </w:p>
    <w:p w:rsidR="00395AA7" w:rsidRPr="00395AA7" w:rsidRDefault="00395AA7">
      <w:pPr>
        <w:jc w:val="both"/>
        <w:rPr>
          <w:rFonts w:ascii="Bookman Old Style" w:hAnsi="Bookman Old Style" w:cs="Bookman Old Style"/>
          <w:sz w:val="26"/>
          <w:szCs w:val="26"/>
        </w:rPr>
      </w:pPr>
      <w:r>
        <w:rPr>
          <w:rFonts w:ascii="Bookman Old Style" w:hAnsi="Bookman Old Style" w:cs="Bookman Old Style"/>
          <w:sz w:val="26"/>
          <w:szCs w:val="26"/>
        </w:rPr>
        <w:t xml:space="preserve">However, statutory beneficiaries who are not parties to the wrongful death suit in their personal capacities are not parties for purposes of liability for an award of costs and attorney’s fees to the opposing party.  </w:t>
      </w:r>
      <w:r w:rsidRPr="0045374F">
        <w:rPr>
          <w:rFonts w:ascii="Bookman Old Style" w:hAnsi="Bookman Old Style" w:cs="Bookman Old Style"/>
          <w:i/>
          <w:sz w:val="26"/>
          <w:szCs w:val="26"/>
        </w:rPr>
        <w:t>Zaverl v. Hanley</w:t>
      </w:r>
      <w:r>
        <w:rPr>
          <w:rFonts w:ascii="Bookman Old Style" w:hAnsi="Bookman Old Style" w:cs="Bookman Old Style"/>
          <w:sz w:val="26"/>
          <w:szCs w:val="26"/>
        </w:rPr>
        <w:t>, 64 P.3d 809, 822 (Alaska 2003).</w:t>
      </w:r>
    </w:p>
    <w:p w:rsidR="00ED18C2" w:rsidRDefault="00ED18C2">
      <w:pPr>
        <w:rPr>
          <w:rFonts w:ascii="Bookman Old Style" w:hAnsi="Bookman Old Style" w:cs="Bookman Old Style"/>
          <w:sz w:val="26"/>
          <w:szCs w:val="26"/>
        </w:rPr>
      </w:pPr>
    </w:p>
    <w:p w:rsidR="009F5245" w:rsidRDefault="009F5245">
      <w:pPr>
        <w:rPr>
          <w:rFonts w:ascii="Bookman Old Style" w:hAnsi="Bookman Old Style" w:cs="Bookman Old Style"/>
          <w:sz w:val="26"/>
          <w:szCs w:val="26"/>
        </w:rPr>
      </w:pPr>
    </w:p>
    <w:p w:rsidR="00ED18C2" w:rsidRPr="00170588" w:rsidRDefault="00ED18C2">
      <w:pPr>
        <w:pStyle w:val="Heading3"/>
        <w:spacing w:line="240" w:lineRule="auto"/>
        <w:rPr>
          <w:b w:val="0"/>
        </w:rPr>
      </w:pPr>
      <w:r w:rsidRPr="00170588">
        <w:rPr>
          <w:b w:val="0"/>
        </w:rPr>
        <w:t>Recovery of Damages</w:t>
      </w:r>
    </w:p>
    <w:p w:rsidR="00ED18C2" w:rsidRDefault="00ED18C2">
      <w:pPr>
        <w:rPr>
          <w:rFonts w:ascii="Bookman Old Style" w:hAnsi="Bookman Old Style" w:cs="Bookman Old Style"/>
          <w:sz w:val="26"/>
          <w:szCs w:val="26"/>
        </w:rPr>
      </w:pPr>
    </w:p>
    <w:p w:rsidR="00ED18C2" w:rsidRDefault="00ED18C2">
      <w:pPr>
        <w:jc w:val="both"/>
        <w:rPr>
          <w:rFonts w:ascii="Bookman Old Style" w:hAnsi="Bookman Old Style" w:cs="Bookman Old Style"/>
          <w:sz w:val="26"/>
          <w:szCs w:val="26"/>
        </w:rPr>
      </w:pPr>
      <w:r>
        <w:rPr>
          <w:rFonts w:ascii="Bookman Old Style" w:hAnsi="Bookman Old Style" w:cs="Bookman Old Style"/>
          <w:sz w:val="26"/>
          <w:szCs w:val="26"/>
        </w:rPr>
        <w:t xml:space="preserve">The fact finder has broad discretion in awarding damages under Alaska's wrongful death statute.  </w:t>
      </w:r>
      <w:r w:rsidRPr="0045374F">
        <w:rPr>
          <w:rFonts w:ascii="Bookman Old Style" w:hAnsi="Bookman Old Style" w:cs="Bookman Old Style"/>
          <w:i/>
          <w:sz w:val="26"/>
          <w:szCs w:val="26"/>
        </w:rPr>
        <w:t>State v. Phillips</w:t>
      </w:r>
      <w:r>
        <w:rPr>
          <w:rFonts w:ascii="Bookman Old Style" w:hAnsi="Bookman Old Style" w:cs="Bookman Old Style"/>
          <w:sz w:val="26"/>
          <w:szCs w:val="26"/>
        </w:rPr>
        <w:t>, 470 P.2d 266, 271 (Alaska 1970).</w:t>
      </w:r>
    </w:p>
    <w:p w:rsidR="00395AA7" w:rsidRDefault="00395AA7">
      <w:pPr>
        <w:jc w:val="both"/>
        <w:rPr>
          <w:rFonts w:ascii="Bookman Old Style" w:hAnsi="Bookman Old Style" w:cs="Bookman Old Style"/>
          <w:sz w:val="26"/>
          <w:szCs w:val="26"/>
        </w:rPr>
      </w:pPr>
    </w:p>
    <w:p w:rsidR="00395AA7" w:rsidRPr="00FD3F5B" w:rsidRDefault="00395AA7">
      <w:pPr>
        <w:jc w:val="both"/>
        <w:rPr>
          <w:rFonts w:ascii="Bookman Old Style" w:hAnsi="Bookman Old Style" w:cs="Bookman Old Style"/>
          <w:sz w:val="26"/>
          <w:szCs w:val="26"/>
        </w:rPr>
      </w:pPr>
      <w:r>
        <w:rPr>
          <w:rFonts w:ascii="Bookman Old Style" w:hAnsi="Bookman Old Style" w:cs="Bookman Old Style"/>
          <w:sz w:val="26"/>
          <w:szCs w:val="26"/>
        </w:rPr>
        <w:t xml:space="preserve">Under AS 09.17.010(b), a single damages cap applies to all claims for non-economic damages arising out of one death, regardless of the number of claimants or beneficiaries.  </w:t>
      </w:r>
      <w:r w:rsidRPr="009D1E3D">
        <w:rPr>
          <w:rFonts w:ascii="Bookman Old Style" w:hAnsi="Bookman Old Style" w:cs="Bookman Old Style"/>
          <w:i/>
          <w:sz w:val="26"/>
          <w:szCs w:val="26"/>
        </w:rPr>
        <w:t>L.D.G., Inc. v Brown</w:t>
      </w:r>
      <w:r>
        <w:rPr>
          <w:rFonts w:ascii="Bookman Old Style" w:hAnsi="Bookman Old Style" w:cs="Bookman Old Style"/>
          <w:sz w:val="26"/>
          <w:szCs w:val="26"/>
        </w:rPr>
        <w:t xml:space="preserve">, 211 P.3d 1110, </w:t>
      </w:r>
      <w:r w:rsidR="00FD3F5B">
        <w:rPr>
          <w:rFonts w:ascii="Bookman Old Style" w:hAnsi="Bookman Old Style" w:cs="Bookman Old Style"/>
          <w:sz w:val="26"/>
          <w:szCs w:val="26"/>
        </w:rPr>
        <w:t xml:space="preserve">1133-35 (Alaska 2009).  A wrongful death is not a “severe physical impairment” for purposes of applying a higher damages cap.  </w:t>
      </w:r>
      <w:r w:rsidR="00FD3F5B" w:rsidRPr="009D1E3D">
        <w:rPr>
          <w:rFonts w:ascii="Bookman Old Style" w:hAnsi="Bookman Old Style" w:cs="Bookman Old Style"/>
          <w:i/>
          <w:sz w:val="26"/>
          <w:szCs w:val="26"/>
        </w:rPr>
        <w:t>Id.</w:t>
      </w:r>
      <w:r w:rsidR="00FD3F5B">
        <w:rPr>
          <w:rFonts w:ascii="Bookman Old Style" w:hAnsi="Bookman Old Style" w:cs="Bookman Old Style"/>
          <w:sz w:val="26"/>
          <w:szCs w:val="26"/>
        </w:rPr>
        <w:t xml:space="preserve"> at 1135-36.</w:t>
      </w:r>
    </w:p>
    <w:p w:rsidR="00ED18C2" w:rsidRDefault="00ED18C2">
      <w:pPr>
        <w:rPr>
          <w:rFonts w:ascii="Bookman Old Style" w:hAnsi="Bookman Old Style" w:cs="Bookman Old Style"/>
          <w:sz w:val="26"/>
          <w:szCs w:val="26"/>
        </w:rPr>
      </w:pPr>
    </w:p>
    <w:p w:rsidR="00ED18C2" w:rsidRPr="009D1E3D" w:rsidRDefault="00CF3AA9">
      <w:pPr>
        <w:jc w:val="both"/>
        <w:rPr>
          <w:rFonts w:ascii="Bookman Old Style" w:hAnsi="Bookman Old Style" w:cs="Bookman Old Style"/>
          <w:sz w:val="26"/>
          <w:szCs w:val="26"/>
        </w:rPr>
      </w:pPr>
      <w:r>
        <w:rPr>
          <w:rFonts w:ascii="Bookman Old Style" w:hAnsi="Bookman Old Style" w:cs="Bookman Old Style"/>
          <w:sz w:val="26"/>
          <w:szCs w:val="26"/>
        </w:rPr>
        <w:t>A</w:t>
      </w:r>
      <w:r w:rsidR="00ED18C2">
        <w:rPr>
          <w:rFonts w:ascii="Bookman Old Style" w:hAnsi="Bookman Old Style" w:cs="Bookman Old Style"/>
          <w:sz w:val="26"/>
          <w:szCs w:val="26"/>
        </w:rPr>
        <w:t xml:space="preserve">n award of damages for future economic loss </w:t>
      </w:r>
      <w:r w:rsidR="00FC0436">
        <w:rPr>
          <w:rFonts w:ascii="Bookman Old Style" w:hAnsi="Bookman Old Style" w:cs="Bookman Old Style"/>
          <w:sz w:val="26"/>
          <w:szCs w:val="26"/>
        </w:rPr>
        <w:t xml:space="preserve">must </w:t>
      </w:r>
      <w:r w:rsidR="00ED18C2">
        <w:rPr>
          <w:rFonts w:ascii="Bookman Old Style" w:hAnsi="Bookman Old Style" w:cs="Bookman Old Style"/>
          <w:sz w:val="26"/>
          <w:szCs w:val="26"/>
        </w:rPr>
        <w:t>be reduced to present value</w:t>
      </w:r>
      <w:r w:rsidR="00FC0436">
        <w:rPr>
          <w:rFonts w:ascii="Bookman Old Style" w:hAnsi="Bookman Old Style" w:cs="Bookman Old Style"/>
          <w:sz w:val="26"/>
          <w:szCs w:val="26"/>
        </w:rPr>
        <w:t xml:space="preserve"> absent the parties' agreement to do otherwise</w:t>
      </w:r>
      <w:r w:rsidR="00ED18C2">
        <w:rPr>
          <w:rFonts w:ascii="Bookman Old Style" w:hAnsi="Bookman Old Style" w:cs="Bookman Old Style"/>
          <w:sz w:val="26"/>
          <w:szCs w:val="26"/>
        </w:rPr>
        <w:t xml:space="preserve">.  </w:t>
      </w:r>
      <w:r w:rsidR="00ED18C2" w:rsidRPr="009D1E3D">
        <w:rPr>
          <w:rFonts w:ascii="Bookman Old Style" w:hAnsi="Bookman Old Style" w:cs="Bookman Old Style"/>
          <w:i/>
          <w:sz w:val="26"/>
          <w:szCs w:val="26"/>
        </w:rPr>
        <w:t>See</w:t>
      </w:r>
      <w:r w:rsidR="00ED18C2">
        <w:rPr>
          <w:rFonts w:ascii="Bookman Old Style" w:hAnsi="Bookman Old Style" w:cs="Bookman Old Style"/>
          <w:sz w:val="26"/>
          <w:szCs w:val="26"/>
        </w:rPr>
        <w:t xml:space="preserve"> AS 09.17.040</w:t>
      </w:r>
      <w:r w:rsidR="00FC0436">
        <w:rPr>
          <w:rFonts w:ascii="Bookman Old Style" w:hAnsi="Bookman Old Style" w:cs="Bookman Old Style"/>
          <w:sz w:val="26"/>
          <w:szCs w:val="26"/>
        </w:rPr>
        <w:t xml:space="preserve">; </w:t>
      </w:r>
      <w:r w:rsidR="00FC0436" w:rsidRPr="009D1E3D">
        <w:rPr>
          <w:rFonts w:ascii="Bookman Old Style" w:hAnsi="Bookman Old Style" w:cs="Bookman Old Style"/>
          <w:i/>
          <w:sz w:val="26"/>
          <w:szCs w:val="26"/>
        </w:rPr>
        <w:lastRenderedPageBreak/>
        <w:t>Beck v. State, Department of Transportation &amp; Public Facilities</w:t>
      </w:r>
      <w:r w:rsidR="00FC0436" w:rsidRPr="009D1E3D">
        <w:rPr>
          <w:rFonts w:ascii="Bookman Old Style" w:hAnsi="Bookman Old Style" w:cs="Bookman Old Style"/>
          <w:sz w:val="26"/>
          <w:szCs w:val="26"/>
        </w:rPr>
        <w:t>, 837 P.2d 105 (Alaska 1992)</w:t>
      </w:r>
      <w:r w:rsidR="00FC0436" w:rsidRPr="009D1E3D">
        <w:rPr>
          <w:rFonts w:ascii="Bookman Old Style" w:hAnsi="Bookman Old Style" w:cs="Bookman Old Style"/>
          <w:i/>
          <w:sz w:val="26"/>
          <w:szCs w:val="26"/>
        </w:rPr>
        <w:t>.</w:t>
      </w:r>
    </w:p>
    <w:p w:rsidR="00ED18C2" w:rsidRDefault="00ED18C2">
      <w:pPr>
        <w:rPr>
          <w:rFonts w:ascii="Bookman Old Style" w:hAnsi="Bookman Old Style" w:cs="Bookman Old Style"/>
          <w:sz w:val="26"/>
          <w:szCs w:val="26"/>
        </w:rPr>
      </w:pPr>
    </w:p>
    <w:p w:rsidR="00ED18C2" w:rsidRDefault="00ED18C2">
      <w:pPr>
        <w:rPr>
          <w:rFonts w:ascii="Bookman Old Style" w:hAnsi="Bookman Old Style" w:cs="Bookman Old Style"/>
          <w:sz w:val="26"/>
          <w:szCs w:val="26"/>
        </w:rPr>
      </w:pPr>
      <w:r w:rsidRPr="009D1E3D">
        <w:rPr>
          <w:rFonts w:ascii="Bookman Old Style" w:hAnsi="Bookman Old Style" w:cs="Bookman Old Style"/>
          <w:i/>
          <w:sz w:val="26"/>
          <w:szCs w:val="26"/>
        </w:rPr>
        <w:t>See also</w:t>
      </w:r>
      <w:r>
        <w:rPr>
          <w:rFonts w:ascii="Bookman Old Style" w:hAnsi="Bookman Old Style" w:cs="Bookman Old Style"/>
          <w:sz w:val="26"/>
          <w:szCs w:val="26"/>
        </w:rPr>
        <w:t xml:space="preserve"> Comments to Instructions 04.05 and 04.12.</w:t>
      </w:r>
    </w:p>
    <w:p w:rsidR="00ED18C2" w:rsidRDefault="00ED18C2">
      <w:pPr>
        <w:rPr>
          <w:rFonts w:ascii="Bookman Old Style" w:hAnsi="Bookman Old Style" w:cs="Bookman Old Style"/>
          <w:sz w:val="26"/>
          <w:szCs w:val="26"/>
        </w:rPr>
      </w:pPr>
    </w:p>
    <w:sectPr w:rsidR="00ED18C2">
      <w:footerReference w:type="default" r:id="rId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FCD" w:rsidRDefault="00086FCD" w:rsidP="0013675C">
      <w:r>
        <w:separator/>
      </w:r>
    </w:p>
  </w:endnote>
  <w:endnote w:type="continuationSeparator" w:id="0">
    <w:p w:rsidR="00086FCD" w:rsidRDefault="00086FCD" w:rsidP="00136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B28" w:rsidRPr="004B79E7" w:rsidRDefault="00E34B28">
    <w:pPr>
      <w:pStyle w:val="Footer"/>
      <w:tabs>
        <w:tab w:val="clear" w:pos="8640"/>
        <w:tab w:val="right" w:pos="9180"/>
      </w:tabs>
      <w:rPr>
        <w:rFonts w:ascii="Bookman Old Style" w:hAnsi="Bookman Old Style" w:cs="Bookman Old Style"/>
        <w:sz w:val="22"/>
        <w:szCs w:val="22"/>
      </w:rPr>
    </w:pPr>
    <w:r w:rsidRPr="004B79E7">
      <w:rPr>
        <w:rFonts w:ascii="Bookman Old Style" w:hAnsi="Bookman Old Style" w:cs="Bookman Old Style"/>
        <w:sz w:val="22"/>
        <w:szCs w:val="22"/>
      </w:rPr>
      <w:t xml:space="preserve">Revised </w:t>
    </w:r>
    <w:r w:rsidR="004B79E7">
      <w:rPr>
        <w:rFonts w:ascii="Bookman Old Style" w:hAnsi="Bookman Old Style" w:cs="Bookman Old Style"/>
        <w:sz w:val="22"/>
        <w:szCs w:val="22"/>
      </w:rPr>
      <w:t>2013</w:t>
    </w:r>
    <w:r w:rsidRPr="004B79E7">
      <w:rPr>
        <w:rFonts w:ascii="Bookman Old Style" w:hAnsi="Bookman Old Style" w:cs="Bookman Old Style"/>
        <w:sz w:val="22"/>
        <w:szCs w:val="22"/>
      </w:rPr>
      <w:tab/>
    </w:r>
    <w:r w:rsidRPr="004B79E7">
      <w:rPr>
        <w:rFonts w:ascii="Bookman Old Style" w:hAnsi="Bookman Old Style" w:cs="Bookman Old Style"/>
        <w:sz w:val="22"/>
        <w:szCs w:val="22"/>
      </w:rPr>
      <w:tab/>
      <w:t xml:space="preserve">04.03 – </w:t>
    </w:r>
    <w:r w:rsidRPr="004B79E7">
      <w:rPr>
        <w:rStyle w:val="PageNumber"/>
        <w:rFonts w:ascii="Bookman Old Style" w:hAnsi="Bookman Old Style" w:cs="Bookman Old Style"/>
        <w:sz w:val="22"/>
        <w:szCs w:val="22"/>
      </w:rPr>
      <w:fldChar w:fldCharType="begin"/>
    </w:r>
    <w:r w:rsidRPr="004B79E7">
      <w:rPr>
        <w:rStyle w:val="PageNumber"/>
        <w:rFonts w:ascii="Bookman Old Style" w:hAnsi="Bookman Old Style" w:cs="Bookman Old Style"/>
        <w:sz w:val="22"/>
        <w:szCs w:val="22"/>
      </w:rPr>
      <w:instrText xml:space="preserve"> PAGE </w:instrText>
    </w:r>
    <w:r w:rsidRPr="004B79E7">
      <w:rPr>
        <w:rStyle w:val="PageNumber"/>
        <w:rFonts w:ascii="Bookman Old Style" w:hAnsi="Bookman Old Style" w:cs="Bookman Old Style"/>
        <w:sz w:val="22"/>
        <w:szCs w:val="22"/>
      </w:rPr>
      <w:fldChar w:fldCharType="separate"/>
    </w:r>
    <w:r w:rsidR="00225BD9">
      <w:rPr>
        <w:rStyle w:val="PageNumber"/>
        <w:rFonts w:ascii="Bookman Old Style" w:hAnsi="Bookman Old Style" w:cs="Bookman Old Style"/>
        <w:noProof/>
        <w:sz w:val="22"/>
        <w:szCs w:val="22"/>
      </w:rPr>
      <w:t>1</w:t>
    </w:r>
    <w:r w:rsidRPr="004B79E7">
      <w:rPr>
        <w:rStyle w:val="PageNumber"/>
        <w:rFonts w:ascii="Bookman Old Style" w:hAnsi="Bookman Old Style" w:cs="Bookman Old Style"/>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FCD" w:rsidRDefault="00086FCD" w:rsidP="0013675C">
      <w:r>
        <w:separator/>
      </w:r>
    </w:p>
  </w:footnote>
  <w:footnote w:type="continuationSeparator" w:id="0">
    <w:p w:rsidR="00086FCD" w:rsidRDefault="00086FCD" w:rsidP="00136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436"/>
    <w:rsid w:val="00057CB4"/>
    <w:rsid w:val="00086FCD"/>
    <w:rsid w:val="000A4DBE"/>
    <w:rsid w:val="0013675C"/>
    <w:rsid w:val="00170588"/>
    <w:rsid w:val="00225BD9"/>
    <w:rsid w:val="002325E0"/>
    <w:rsid w:val="00290CDE"/>
    <w:rsid w:val="002F62FB"/>
    <w:rsid w:val="00303107"/>
    <w:rsid w:val="0033070E"/>
    <w:rsid w:val="00331EB8"/>
    <w:rsid w:val="00395AA7"/>
    <w:rsid w:val="0045374F"/>
    <w:rsid w:val="004B5429"/>
    <w:rsid w:val="004B79E7"/>
    <w:rsid w:val="00535A22"/>
    <w:rsid w:val="006B0BD8"/>
    <w:rsid w:val="006D6E82"/>
    <w:rsid w:val="006D75A8"/>
    <w:rsid w:val="00713B99"/>
    <w:rsid w:val="00761D2C"/>
    <w:rsid w:val="00780BD0"/>
    <w:rsid w:val="00784AC0"/>
    <w:rsid w:val="007D54B9"/>
    <w:rsid w:val="00894CEE"/>
    <w:rsid w:val="0098332E"/>
    <w:rsid w:val="009D1E3D"/>
    <w:rsid w:val="009E4743"/>
    <w:rsid w:val="009F5245"/>
    <w:rsid w:val="00A137E9"/>
    <w:rsid w:val="00BC4F0C"/>
    <w:rsid w:val="00C42E6D"/>
    <w:rsid w:val="00CF3AA9"/>
    <w:rsid w:val="00D31A85"/>
    <w:rsid w:val="00D74D06"/>
    <w:rsid w:val="00D868D4"/>
    <w:rsid w:val="00DC4280"/>
    <w:rsid w:val="00DF59D6"/>
    <w:rsid w:val="00E34B28"/>
    <w:rsid w:val="00E6681A"/>
    <w:rsid w:val="00ED18C2"/>
    <w:rsid w:val="00F46975"/>
    <w:rsid w:val="00F611FA"/>
    <w:rsid w:val="00FB7D60"/>
    <w:rsid w:val="00FC0436"/>
    <w:rsid w:val="00FD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jc w:val="both"/>
      <w:outlineLvl w:val="0"/>
    </w:pPr>
    <w:rPr>
      <w:rFonts w:ascii="Bookman Old Style" w:hAnsi="Bookman Old Style" w:cs="Bookman Old Style"/>
      <w:sz w:val="26"/>
      <w:szCs w:val="26"/>
    </w:rPr>
  </w:style>
  <w:style w:type="paragraph" w:styleId="Heading2">
    <w:name w:val="heading 2"/>
    <w:basedOn w:val="Normal"/>
    <w:next w:val="Normal"/>
    <w:link w:val="Heading2Char"/>
    <w:uiPriority w:val="99"/>
    <w:qFormat/>
    <w:pPr>
      <w:keepNext/>
      <w:spacing w:line="360" w:lineRule="auto"/>
      <w:jc w:val="center"/>
      <w:outlineLvl w:val="1"/>
    </w:pPr>
    <w:rPr>
      <w:rFonts w:ascii="Bookman Old Style" w:hAnsi="Bookman Old Style" w:cs="Bookman Old Style"/>
      <w:sz w:val="26"/>
      <w:szCs w:val="26"/>
      <w:u w:val="single"/>
    </w:rPr>
  </w:style>
  <w:style w:type="paragraph" w:styleId="Heading3">
    <w:name w:val="heading 3"/>
    <w:basedOn w:val="Normal"/>
    <w:next w:val="Normal"/>
    <w:link w:val="Heading3Char"/>
    <w:uiPriority w:val="99"/>
    <w:qFormat/>
    <w:pPr>
      <w:keepNext/>
      <w:spacing w:line="360" w:lineRule="auto"/>
      <w:jc w:val="center"/>
      <w:outlineLvl w:val="2"/>
    </w:pPr>
    <w:rPr>
      <w:rFonts w:ascii="Bookman Old Style" w:hAnsi="Bookman Old Style" w:cs="Bookman Old Style"/>
      <w:b/>
      <w:bCs/>
      <w:sz w:val="26"/>
      <w:szCs w:val="26"/>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2">
    <w:name w:val="Body Text 2"/>
    <w:basedOn w:val="Normal"/>
    <w:link w:val="BodyText2Char"/>
    <w:uiPriority w:val="99"/>
    <w:pPr>
      <w:jc w:val="center"/>
    </w:pPr>
    <w:rPr>
      <w:rFonts w:ascii="Bookman Old Style" w:hAnsi="Bookman Old Style" w:cs="Bookman Old Style"/>
      <w:b/>
      <w:bCs/>
      <w:sz w:val="26"/>
      <w:szCs w:val="26"/>
      <w:u w:val="single"/>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Indent2">
    <w:name w:val="Body Text Indent 2"/>
    <w:basedOn w:val="Normal"/>
    <w:link w:val="BodyTextIndent2Char"/>
    <w:uiPriority w:val="99"/>
    <w:pPr>
      <w:spacing w:line="360" w:lineRule="auto"/>
      <w:ind w:left="720" w:hanging="720"/>
      <w:jc w:val="both"/>
    </w:pPr>
    <w:rPr>
      <w:rFonts w:ascii="Bookman Old Style" w:hAnsi="Bookman Old Style" w:cs="Bookman Old Style"/>
      <w:sz w:val="26"/>
      <w:szCs w:val="26"/>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jc w:val="both"/>
    </w:pPr>
    <w:rPr>
      <w:sz w:val="23"/>
      <w:szCs w:val="23"/>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spacing w:line="360" w:lineRule="auto"/>
    </w:pPr>
    <w:rPr>
      <w:rFonts w:ascii="Bookman Old Style" w:hAnsi="Bookman Old Style" w:cs="Bookman Old Style"/>
      <w:sz w:val="26"/>
      <w:szCs w:val="26"/>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FC04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04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jc w:val="both"/>
      <w:outlineLvl w:val="0"/>
    </w:pPr>
    <w:rPr>
      <w:rFonts w:ascii="Bookman Old Style" w:hAnsi="Bookman Old Style" w:cs="Bookman Old Style"/>
      <w:sz w:val="26"/>
      <w:szCs w:val="26"/>
    </w:rPr>
  </w:style>
  <w:style w:type="paragraph" w:styleId="Heading2">
    <w:name w:val="heading 2"/>
    <w:basedOn w:val="Normal"/>
    <w:next w:val="Normal"/>
    <w:link w:val="Heading2Char"/>
    <w:uiPriority w:val="99"/>
    <w:qFormat/>
    <w:pPr>
      <w:keepNext/>
      <w:spacing w:line="360" w:lineRule="auto"/>
      <w:jc w:val="center"/>
      <w:outlineLvl w:val="1"/>
    </w:pPr>
    <w:rPr>
      <w:rFonts w:ascii="Bookman Old Style" w:hAnsi="Bookman Old Style" w:cs="Bookman Old Style"/>
      <w:sz w:val="26"/>
      <w:szCs w:val="26"/>
      <w:u w:val="single"/>
    </w:rPr>
  </w:style>
  <w:style w:type="paragraph" w:styleId="Heading3">
    <w:name w:val="heading 3"/>
    <w:basedOn w:val="Normal"/>
    <w:next w:val="Normal"/>
    <w:link w:val="Heading3Char"/>
    <w:uiPriority w:val="99"/>
    <w:qFormat/>
    <w:pPr>
      <w:keepNext/>
      <w:spacing w:line="360" w:lineRule="auto"/>
      <w:jc w:val="center"/>
      <w:outlineLvl w:val="2"/>
    </w:pPr>
    <w:rPr>
      <w:rFonts w:ascii="Bookman Old Style" w:hAnsi="Bookman Old Style" w:cs="Bookman Old Style"/>
      <w:b/>
      <w:bCs/>
      <w:sz w:val="26"/>
      <w:szCs w:val="26"/>
      <w:u w:val="single"/>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paragraph" w:styleId="BodyText2">
    <w:name w:val="Body Text 2"/>
    <w:basedOn w:val="Normal"/>
    <w:link w:val="BodyText2Char"/>
    <w:uiPriority w:val="99"/>
    <w:pPr>
      <w:jc w:val="center"/>
    </w:pPr>
    <w:rPr>
      <w:rFonts w:ascii="Bookman Old Style" w:hAnsi="Bookman Old Style" w:cs="Bookman Old Style"/>
      <w:b/>
      <w:bCs/>
      <w:sz w:val="26"/>
      <w:szCs w:val="26"/>
      <w:u w:val="single"/>
    </w:rPr>
  </w:style>
  <w:style w:type="character" w:customStyle="1" w:styleId="BodyText2Char">
    <w:name w:val="Body Text 2 Char"/>
    <w:basedOn w:val="DefaultParagraphFont"/>
    <w:link w:val="BodyText2"/>
    <w:uiPriority w:val="99"/>
    <w:semiHidden/>
    <w:locked/>
    <w:rPr>
      <w:rFonts w:ascii="Times New Roman" w:hAnsi="Times New Roman" w:cs="Times New Roman"/>
      <w:sz w:val="20"/>
      <w:szCs w:val="20"/>
    </w:rPr>
  </w:style>
  <w:style w:type="paragraph" w:styleId="BodyTextIndent2">
    <w:name w:val="Body Text Indent 2"/>
    <w:basedOn w:val="Normal"/>
    <w:link w:val="BodyTextIndent2Char"/>
    <w:uiPriority w:val="99"/>
    <w:pPr>
      <w:spacing w:line="360" w:lineRule="auto"/>
      <w:ind w:left="720" w:hanging="720"/>
      <w:jc w:val="both"/>
    </w:pPr>
    <w:rPr>
      <w:rFonts w:ascii="Bookman Old Style" w:hAnsi="Bookman Old Style" w:cs="Bookman Old Style"/>
      <w:sz w:val="26"/>
      <w:szCs w:val="26"/>
    </w:r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0"/>
      <w:szCs w:val="20"/>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pPr>
      <w:jc w:val="both"/>
    </w:pPr>
    <w:rPr>
      <w:sz w:val="23"/>
      <w:szCs w:val="23"/>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BodyText3">
    <w:name w:val="Body Text 3"/>
    <w:basedOn w:val="Normal"/>
    <w:link w:val="BodyText3Char"/>
    <w:uiPriority w:val="99"/>
    <w:pPr>
      <w:spacing w:line="360" w:lineRule="auto"/>
    </w:pPr>
    <w:rPr>
      <w:rFonts w:ascii="Bookman Old Style" w:hAnsi="Bookman Old Style" w:cs="Bookman Old Style"/>
      <w:sz w:val="26"/>
      <w:szCs w:val="26"/>
    </w:rPr>
  </w:style>
  <w:style w:type="character" w:customStyle="1" w:styleId="BodyText3Char">
    <w:name w:val="Body Text 3 Char"/>
    <w:basedOn w:val="DefaultParagraphFont"/>
    <w:link w:val="BodyText3"/>
    <w:uiPriority w:val="99"/>
    <w:semiHidden/>
    <w:locked/>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FC04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04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029F1-FA82-4D02-A349-30FA4626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1232</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8239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korzechowski</dc:creator>
  <cp:lastModifiedBy>Windows User</cp:lastModifiedBy>
  <cp:revision>2</cp:revision>
  <cp:lastPrinted>2013-10-08T17:46:00Z</cp:lastPrinted>
  <dcterms:created xsi:type="dcterms:W3CDTF">2013-10-08T21:04:00Z</dcterms:created>
  <dcterms:modified xsi:type="dcterms:W3CDTF">2013-10-08T21:04:00Z</dcterms:modified>
</cp:coreProperties>
</file>