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5F3" w:rsidRDefault="005165F3">
      <w:pPr>
        <w:pStyle w:val="BodyText2"/>
      </w:pPr>
      <w:bookmarkStart w:id="0" w:name="_GoBack"/>
      <w:bookmarkEnd w:id="0"/>
      <w:r>
        <w:t>04.05A</w:t>
      </w:r>
      <w:r>
        <w:tab/>
        <w:t xml:space="preserve">WRONGFUL DEATH ACTION – IDENTIFICATION OF </w:t>
      </w:r>
      <w:r w:rsidR="00900628">
        <w:t>OTHER DEPENDENTS</w:t>
      </w:r>
    </w:p>
    <w:p w:rsidR="005165F3" w:rsidRDefault="005165F3">
      <w:pPr>
        <w:spacing w:line="360" w:lineRule="auto"/>
        <w:jc w:val="both"/>
        <w:rPr>
          <w:rFonts w:ascii="Bookman Old Style" w:hAnsi="Bookman Old Style"/>
          <w:sz w:val="26"/>
        </w:rPr>
      </w:pPr>
    </w:p>
    <w:p w:rsidR="005165F3" w:rsidRDefault="005165F3">
      <w:pPr>
        <w:spacing w:line="360" w:lineRule="auto"/>
        <w:jc w:val="both"/>
        <w:rPr>
          <w:rFonts w:ascii="Bookman Old Style" w:hAnsi="Bookman Old Style"/>
          <w:sz w:val="26"/>
        </w:rPr>
      </w:pPr>
    </w:p>
    <w:p w:rsidR="005165F3" w:rsidRDefault="005165F3">
      <w:pPr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In this cas</w:t>
      </w:r>
      <w:r w:rsidR="00343410">
        <w:rPr>
          <w:rFonts w:ascii="Bookman Old Style" w:hAnsi="Bookman Old Style"/>
          <w:sz w:val="26"/>
        </w:rPr>
        <w:t>e, [</w:t>
      </w:r>
      <w:r w:rsidR="000139DF">
        <w:rPr>
          <w:rFonts w:ascii="Bookman Old Style" w:hAnsi="Bookman Old Style"/>
          <w:sz w:val="26"/>
        </w:rPr>
        <w:t>uncontested statutory beneficiar</w:t>
      </w:r>
      <w:r w:rsidR="00343410">
        <w:rPr>
          <w:rFonts w:ascii="Bookman Old Style" w:hAnsi="Bookman Old Style"/>
          <w:sz w:val="26"/>
        </w:rPr>
        <w:t>(y)(</w:t>
      </w:r>
      <w:r w:rsidR="000139DF">
        <w:rPr>
          <w:rFonts w:ascii="Bookman Old Style" w:hAnsi="Bookman Old Style"/>
          <w:sz w:val="26"/>
        </w:rPr>
        <w:t>ies</w:t>
      </w:r>
      <w:r w:rsidR="00343410">
        <w:rPr>
          <w:rFonts w:ascii="Bookman Old Style" w:hAnsi="Bookman Old Style"/>
          <w:sz w:val="26"/>
        </w:rPr>
        <w:t>)</w:t>
      </w:r>
      <w:r w:rsidR="000139DF">
        <w:rPr>
          <w:rFonts w:ascii="Bookman Old Style" w:hAnsi="Bookman Old Style"/>
          <w:sz w:val="26"/>
        </w:rPr>
        <w:t>]</w:t>
      </w:r>
      <w:r w:rsidR="002A2AC6">
        <w:rPr>
          <w:rFonts w:ascii="Bookman Old Style" w:hAnsi="Bookman Old Style"/>
          <w:sz w:val="26"/>
        </w:rPr>
        <w:t xml:space="preserve"> </w:t>
      </w:r>
      <w:r w:rsidR="001623C2">
        <w:rPr>
          <w:rFonts w:ascii="Bookman Old Style" w:hAnsi="Bookman Old Style"/>
          <w:sz w:val="26"/>
        </w:rPr>
        <w:t xml:space="preserve">[is][are] eligible to </w:t>
      </w:r>
      <w:r w:rsidR="002A2AC6">
        <w:rPr>
          <w:rFonts w:ascii="Bookman Old Style" w:hAnsi="Bookman Old Style"/>
          <w:sz w:val="26"/>
        </w:rPr>
        <w:t>claim damages for the</w:t>
      </w:r>
      <w:r w:rsidR="00E72220">
        <w:rPr>
          <w:rFonts w:ascii="Bookman Old Style" w:hAnsi="Bookman Old Style"/>
          <w:sz w:val="26"/>
        </w:rPr>
        <w:t xml:space="preserve"> death of [</w:t>
      </w:r>
      <w:r w:rsidR="00343410">
        <w:rPr>
          <w:rFonts w:ascii="Bookman Old Style" w:hAnsi="Bookman Old Style"/>
          <w:sz w:val="26"/>
        </w:rPr>
        <w:t>decedent]. [P</w:t>
      </w:r>
      <w:r w:rsidR="00E72220">
        <w:rPr>
          <w:rFonts w:ascii="Bookman Old Style" w:hAnsi="Bookman Old Style"/>
          <w:sz w:val="26"/>
        </w:rPr>
        <w:t xml:space="preserve">utative dependent] is also eligible to </w:t>
      </w:r>
      <w:r w:rsidR="002A2AC6">
        <w:rPr>
          <w:rFonts w:ascii="Bookman Old Style" w:hAnsi="Bookman Old Style"/>
          <w:sz w:val="26"/>
        </w:rPr>
        <w:t>claim damages if you decide that [he][she] was a dependent of [decedent] at the time of death.</w:t>
      </w:r>
      <w:r w:rsidR="00FA1A5F">
        <w:rPr>
          <w:rFonts w:ascii="Bookman Old Style" w:hAnsi="Bookman Old Style"/>
          <w:sz w:val="26"/>
        </w:rPr>
        <w:t xml:space="preserve"> </w:t>
      </w:r>
    </w:p>
    <w:p w:rsidR="005165F3" w:rsidRDefault="005165F3">
      <w:pPr>
        <w:spacing w:line="360" w:lineRule="auto"/>
        <w:jc w:val="both"/>
        <w:rPr>
          <w:rFonts w:ascii="Bookman Old Style" w:hAnsi="Bookman Old Style"/>
          <w:sz w:val="26"/>
        </w:rPr>
      </w:pPr>
    </w:p>
    <w:p w:rsidR="005165F3" w:rsidRDefault="002A2AC6">
      <w:pPr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For [</w:t>
      </w:r>
      <w:r w:rsidR="00E72220">
        <w:rPr>
          <w:rFonts w:ascii="Bookman Old Style" w:hAnsi="Bookman Old Style"/>
          <w:sz w:val="26"/>
        </w:rPr>
        <w:t>putative dependent</w:t>
      </w:r>
      <w:r>
        <w:rPr>
          <w:rFonts w:ascii="Bookman Old Style" w:hAnsi="Bookman Old Style"/>
          <w:sz w:val="26"/>
        </w:rPr>
        <w:t>]</w:t>
      </w:r>
      <w:r w:rsidR="005165F3">
        <w:rPr>
          <w:rFonts w:ascii="Bookman Old Style" w:hAnsi="Bookman Old Style"/>
          <w:sz w:val="26"/>
        </w:rPr>
        <w:t xml:space="preserve"> to qualify as a dependent, you must find that it is more likely true than not true:</w:t>
      </w:r>
    </w:p>
    <w:p w:rsidR="005165F3" w:rsidRDefault="005165F3">
      <w:pPr>
        <w:spacing w:line="360" w:lineRule="auto"/>
        <w:jc w:val="both"/>
        <w:rPr>
          <w:rFonts w:ascii="Bookman Old Style" w:hAnsi="Bookman Old Style"/>
          <w:sz w:val="26"/>
        </w:rPr>
      </w:pPr>
    </w:p>
    <w:p w:rsidR="005165F3" w:rsidRDefault="00D6247A">
      <w:pPr>
        <w:spacing w:line="360" w:lineRule="auto"/>
        <w:ind w:left="720" w:hanging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(1)</w:t>
      </w:r>
      <w:r>
        <w:rPr>
          <w:rFonts w:ascii="Bookman Old Style" w:hAnsi="Bookman Old Style"/>
          <w:sz w:val="26"/>
        </w:rPr>
        <w:tab/>
      </w:r>
      <w:r w:rsidR="00E72220">
        <w:rPr>
          <w:rFonts w:ascii="Bookman Old Style" w:hAnsi="Bookman Old Style"/>
          <w:sz w:val="26"/>
        </w:rPr>
        <w:t>[putative dependent]</w:t>
      </w:r>
      <w:r w:rsidR="005165F3">
        <w:rPr>
          <w:rFonts w:ascii="Bookman Old Style" w:hAnsi="Bookman Old Style"/>
          <w:sz w:val="26"/>
        </w:rPr>
        <w:t xml:space="preserve"> was a close relative </w:t>
      </w:r>
      <w:r w:rsidR="00B4161B">
        <w:rPr>
          <w:rFonts w:ascii="Bookman Old Style" w:hAnsi="Bookman Old Style"/>
          <w:sz w:val="26"/>
        </w:rPr>
        <w:t xml:space="preserve">of </w:t>
      </w:r>
      <w:r w:rsidR="002A2AC6">
        <w:rPr>
          <w:rFonts w:ascii="Bookman Old Style" w:hAnsi="Bookman Old Style"/>
          <w:sz w:val="26"/>
        </w:rPr>
        <w:t>[</w:t>
      </w:r>
      <w:r w:rsidR="005165F3">
        <w:rPr>
          <w:rFonts w:ascii="Bookman Old Style" w:hAnsi="Bookman Old Style"/>
          <w:sz w:val="26"/>
        </w:rPr>
        <w:t>decedent</w:t>
      </w:r>
      <w:r w:rsidR="002A2AC6">
        <w:rPr>
          <w:rFonts w:ascii="Bookman Old Style" w:hAnsi="Bookman Old Style"/>
          <w:sz w:val="26"/>
        </w:rPr>
        <w:t>]</w:t>
      </w:r>
      <w:r w:rsidR="005165F3">
        <w:rPr>
          <w:rFonts w:ascii="Bookman Old Style" w:hAnsi="Bookman Old Style"/>
          <w:sz w:val="26"/>
        </w:rPr>
        <w:t xml:space="preserve"> or, at the time of </w:t>
      </w:r>
      <w:r w:rsidR="002A2AC6">
        <w:rPr>
          <w:rFonts w:ascii="Bookman Old Style" w:hAnsi="Bookman Old Style"/>
          <w:sz w:val="26"/>
        </w:rPr>
        <w:t>[</w:t>
      </w:r>
      <w:r w:rsidR="005165F3">
        <w:rPr>
          <w:rFonts w:ascii="Bookman Old Style" w:hAnsi="Bookman Old Style"/>
          <w:sz w:val="26"/>
        </w:rPr>
        <w:t>decedent</w:t>
      </w:r>
      <w:r w:rsidR="002A2AC6">
        <w:rPr>
          <w:rFonts w:ascii="Bookman Old Style" w:hAnsi="Bookman Old Style"/>
          <w:sz w:val="26"/>
        </w:rPr>
        <w:t xml:space="preserve">]’s </w:t>
      </w:r>
      <w:r w:rsidR="00E72220">
        <w:rPr>
          <w:rFonts w:ascii="Bookman Old Style" w:hAnsi="Bookman Old Style"/>
          <w:sz w:val="26"/>
        </w:rPr>
        <w:t xml:space="preserve">death, [putative dependent] had </w:t>
      </w:r>
      <w:r w:rsidR="002A2AC6">
        <w:rPr>
          <w:rFonts w:ascii="Bookman Old Style" w:hAnsi="Bookman Old Style"/>
          <w:sz w:val="26"/>
        </w:rPr>
        <w:t xml:space="preserve">a relationship with [decedent] similar </w:t>
      </w:r>
      <w:r w:rsidR="005165F3">
        <w:rPr>
          <w:rFonts w:ascii="Bookman Old Style" w:hAnsi="Bookman Old Style"/>
          <w:sz w:val="26"/>
        </w:rPr>
        <w:t>to that of a close relative; and</w:t>
      </w:r>
    </w:p>
    <w:p w:rsidR="005165F3" w:rsidRDefault="005165F3">
      <w:pPr>
        <w:spacing w:line="360" w:lineRule="auto"/>
        <w:ind w:left="720" w:hanging="720"/>
        <w:jc w:val="both"/>
        <w:rPr>
          <w:rFonts w:ascii="Bookman Old Style" w:hAnsi="Bookman Old Style"/>
          <w:sz w:val="26"/>
        </w:rPr>
      </w:pPr>
    </w:p>
    <w:p w:rsidR="005165F3" w:rsidRDefault="00D6247A">
      <w:pPr>
        <w:spacing w:line="360" w:lineRule="auto"/>
        <w:ind w:left="720" w:hanging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(2)</w:t>
      </w:r>
      <w:r>
        <w:rPr>
          <w:rFonts w:ascii="Bookman Old Style" w:hAnsi="Bookman Old Style"/>
          <w:sz w:val="26"/>
        </w:rPr>
        <w:tab/>
      </w:r>
      <w:r w:rsidR="002A2AC6">
        <w:rPr>
          <w:rFonts w:ascii="Bookman Old Style" w:hAnsi="Bookman Old Style"/>
          <w:sz w:val="26"/>
        </w:rPr>
        <w:t xml:space="preserve">[decedent] </w:t>
      </w:r>
      <w:r w:rsidR="005165F3">
        <w:rPr>
          <w:rFonts w:ascii="Bookman Old Style" w:hAnsi="Bookman Old Style"/>
          <w:sz w:val="26"/>
        </w:rPr>
        <w:t xml:space="preserve">made significant contributions of support upon which </w:t>
      </w:r>
      <w:r w:rsidR="00E72220">
        <w:rPr>
          <w:rFonts w:ascii="Bookman Old Style" w:hAnsi="Bookman Old Style"/>
          <w:sz w:val="26"/>
        </w:rPr>
        <w:t>[putative dependent]  was a</w:t>
      </w:r>
      <w:r w:rsidR="005165F3">
        <w:rPr>
          <w:rFonts w:ascii="Bookman Old Style" w:hAnsi="Bookman Old Style"/>
          <w:sz w:val="26"/>
        </w:rPr>
        <w:t xml:space="preserve">ctually dependent at the time of </w:t>
      </w:r>
      <w:r w:rsidR="002A2AC6">
        <w:rPr>
          <w:rFonts w:ascii="Bookman Old Style" w:hAnsi="Bookman Old Style"/>
          <w:sz w:val="26"/>
        </w:rPr>
        <w:t>[</w:t>
      </w:r>
      <w:r w:rsidR="00900628">
        <w:rPr>
          <w:rFonts w:ascii="Bookman Old Style" w:hAnsi="Bookman Old Style"/>
          <w:sz w:val="26"/>
        </w:rPr>
        <w:t>decedent</w:t>
      </w:r>
      <w:r w:rsidR="002A2AC6">
        <w:rPr>
          <w:rFonts w:ascii="Bookman Old Style" w:hAnsi="Bookman Old Style"/>
          <w:sz w:val="26"/>
        </w:rPr>
        <w:t xml:space="preserve">]’s </w:t>
      </w:r>
      <w:r w:rsidR="005165F3">
        <w:rPr>
          <w:rFonts w:ascii="Bookman Old Style" w:hAnsi="Bookman Old Style"/>
          <w:sz w:val="26"/>
        </w:rPr>
        <w:t>death; and</w:t>
      </w:r>
    </w:p>
    <w:p w:rsidR="005165F3" w:rsidRDefault="005165F3">
      <w:pPr>
        <w:spacing w:line="360" w:lineRule="auto"/>
        <w:ind w:left="720" w:hanging="720"/>
        <w:jc w:val="both"/>
        <w:rPr>
          <w:rFonts w:ascii="Bookman Old Style" w:hAnsi="Bookman Old Style"/>
          <w:sz w:val="26"/>
        </w:rPr>
      </w:pPr>
    </w:p>
    <w:p w:rsidR="005165F3" w:rsidRDefault="00D6247A">
      <w:pPr>
        <w:spacing w:line="360" w:lineRule="auto"/>
        <w:ind w:left="720" w:hanging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(3)</w:t>
      </w:r>
      <w:r>
        <w:rPr>
          <w:rFonts w:ascii="Bookman Old Style" w:hAnsi="Bookman Old Style"/>
          <w:sz w:val="26"/>
        </w:rPr>
        <w:tab/>
      </w:r>
      <w:r w:rsidR="005165F3">
        <w:rPr>
          <w:rFonts w:ascii="Bookman Old Style" w:hAnsi="Bookman Old Style"/>
          <w:sz w:val="26"/>
        </w:rPr>
        <w:t>these contrib</w:t>
      </w:r>
      <w:r>
        <w:rPr>
          <w:rFonts w:ascii="Bookman Old Style" w:hAnsi="Bookman Old Style"/>
          <w:sz w:val="26"/>
        </w:rPr>
        <w:t xml:space="preserve">utions would have continued if </w:t>
      </w:r>
      <w:r w:rsidR="002A2AC6">
        <w:rPr>
          <w:rFonts w:ascii="Bookman Old Style" w:hAnsi="Bookman Old Style"/>
          <w:sz w:val="26"/>
        </w:rPr>
        <w:t>[</w:t>
      </w:r>
      <w:r w:rsidR="00343410">
        <w:rPr>
          <w:rFonts w:ascii="Bookman Old Style" w:hAnsi="Bookman Old Style"/>
          <w:sz w:val="26"/>
        </w:rPr>
        <w:t>decedent</w:t>
      </w:r>
      <w:r w:rsidR="002A2AC6">
        <w:rPr>
          <w:rFonts w:ascii="Bookman Old Style" w:hAnsi="Bookman Old Style"/>
          <w:sz w:val="26"/>
        </w:rPr>
        <w:t>]</w:t>
      </w:r>
      <w:r>
        <w:rPr>
          <w:rFonts w:ascii="Bookman Old Style" w:hAnsi="Bookman Old Style"/>
          <w:sz w:val="26"/>
        </w:rPr>
        <w:t xml:space="preserve"> had</w:t>
      </w:r>
      <w:r w:rsidR="005165F3">
        <w:rPr>
          <w:rFonts w:ascii="Bookman Old Style" w:hAnsi="Bookman Old Style"/>
          <w:sz w:val="26"/>
        </w:rPr>
        <w:t xml:space="preserve"> live</w:t>
      </w:r>
      <w:r w:rsidR="00B4161B">
        <w:rPr>
          <w:rFonts w:ascii="Bookman Old Style" w:hAnsi="Bookman Old Style"/>
          <w:sz w:val="26"/>
        </w:rPr>
        <w:t>d</w:t>
      </w:r>
      <w:r w:rsidR="005165F3">
        <w:rPr>
          <w:rFonts w:ascii="Bookman Old Style" w:hAnsi="Bookman Old Style"/>
          <w:sz w:val="26"/>
        </w:rPr>
        <w:t xml:space="preserve">.  In deciding whether the contributions would have continued, you may consider, among other things, the length of time </w:t>
      </w:r>
      <w:r w:rsidR="000139DF">
        <w:rPr>
          <w:rFonts w:ascii="Bookman Old Style" w:hAnsi="Bookman Old Style"/>
          <w:sz w:val="26"/>
        </w:rPr>
        <w:t>[</w:t>
      </w:r>
      <w:r w:rsidR="005165F3">
        <w:rPr>
          <w:rFonts w:ascii="Bookman Old Style" w:hAnsi="Bookman Old Style"/>
          <w:sz w:val="26"/>
        </w:rPr>
        <w:t>dece</w:t>
      </w:r>
      <w:r w:rsidR="00343410">
        <w:rPr>
          <w:rFonts w:ascii="Bookman Old Style" w:hAnsi="Bookman Old Style"/>
          <w:sz w:val="26"/>
        </w:rPr>
        <w:t>dent</w:t>
      </w:r>
      <w:r w:rsidR="000139DF">
        <w:rPr>
          <w:rFonts w:ascii="Bookman Old Style" w:hAnsi="Bookman Old Style"/>
          <w:sz w:val="26"/>
        </w:rPr>
        <w:t xml:space="preserve">] </w:t>
      </w:r>
      <w:r w:rsidR="005165F3">
        <w:rPr>
          <w:rFonts w:ascii="Bookman Old Style" w:hAnsi="Bookman Old Style"/>
          <w:sz w:val="26"/>
        </w:rPr>
        <w:t>made the contributions of support.</w:t>
      </w:r>
    </w:p>
    <w:p w:rsidR="005165F3" w:rsidRDefault="005165F3">
      <w:pPr>
        <w:spacing w:line="360" w:lineRule="auto"/>
        <w:jc w:val="both"/>
        <w:rPr>
          <w:rFonts w:ascii="Bookman Old Style" w:hAnsi="Bookman Old Style"/>
          <w:sz w:val="26"/>
        </w:rPr>
      </w:pPr>
    </w:p>
    <w:p w:rsidR="002B3D27" w:rsidRDefault="00E72220">
      <w:pPr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If you find that [putative dependent] </w:t>
      </w:r>
      <w:r w:rsidR="000139DF">
        <w:rPr>
          <w:rFonts w:ascii="Bookman Old Style" w:hAnsi="Bookman Old Style"/>
          <w:sz w:val="26"/>
        </w:rPr>
        <w:t>qualifies</w:t>
      </w:r>
      <w:r w:rsidR="005165F3">
        <w:rPr>
          <w:rFonts w:ascii="Bookman Old Style" w:hAnsi="Bookman Old Style"/>
          <w:sz w:val="26"/>
        </w:rPr>
        <w:t xml:space="preserve"> as </w:t>
      </w:r>
      <w:r w:rsidR="000139DF">
        <w:rPr>
          <w:rFonts w:ascii="Bookman Old Style" w:hAnsi="Bookman Old Style"/>
          <w:sz w:val="26"/>
        </w:rPr>
        <w:t>a dependent</w:t>
      </w:r>
      <w:r w:rsidR="005165F3">
        <w:rPr>
          <w:rFonts w:ascii="Bookman Old Style" w:hAnsi="Bookman Old Style"/>
          <w:sz w:val="26"/>
        </w:rPr>
        <w:t>, you sh</w:t>
      </w:r>
      <w:r w:rsidR="00343410">
        <w:rPr>
          <w:rFonts w:ascii="Bookman Old Style" w:hAnsi="Bookman Old Style"/>
          <w:sz w:val="26"/>
        </w:rPr>
        <w:t>ould include [him]</w:t>
      </w:r>
      <w:r w:rsidR="00D6247A">
        <w:rPr>
          <w:rFonts w:ascii="Bookman Old Style" w:hAnsi="Bookman Old Style"/>
          <w:sz w:val="26"/>
        </w:rPr>
        <w:t>[her]</w:t>
      </w:r>
      <w:r w:rsidR="000139DF">
        <w:rPr>
          <w:rFonts w:ascii="Bookman Old Style" w:hAnsi="Bookman Old Style"/>
          <w:sz w:val="26"/>
        </w:rPr>
        <w:t xml:space="preserve"> </w:t>
      </w:r>
      <w:r w:rsidR="005165F3">
        <w:rPr>
          <w:rFonts w:ascii="Bookman Old Style" w:hAnsi="Bookman Old Style"/>
          <w:sz w:val="26"/>
        </w:rPr>
        <w:t xml:space="preserve">when considering </w:t>
      </w:r>
      <w:r w:rsidR="00C3554A">
        <w:rPr>
          <w:rFonts w:ascii="Bookman Old Style" w:hAnsi="Bookman Old Style"/>
          <w:sz w:val="26"/>
        </w:rPr>
        <w:t>damages that may be awarded in this case</w:t>
      </w:r>
      <w:r w:rsidR="000139DF">
        <w:rPr>
          <w:rFonts w:ascii="Bookman Old Style" w:hAnsi="Bookman Old Style"/>
          <w:sz w:val="26"/>
        </w:rPr>
        <w:t xml:space="preserve">. </w:t>
      </w:r>
      <w:r w:rsidR="00C3554A">
        <w:rPr>
          <w:rFonts w:ascii="Bookman Old Style" w:hAnsi="Bookman Old Style"/>
          <w:sz w:val="26"/>
        </w:rPr>
        <w:t xml:space="preserve"> If you find that [putative dependent] does not qualify as a </w:t>
      </w:r>
      <w:r w:rsidR="00C3554A">
        <w:rPr>
          <w:rFonts w:ascii="Bookman Old Style" w:hAnsi="Bookman Old Style"/>
          <w:sz w:val="26"/>
        </w:rPr>
        <w:lastRenderedPageBreak/>
        <w:t>dependent</w:t>
      </w:r>
      <w:r w:rsidR="00896BBE">
        <w:rPr>
          <w:rFonts w:ascii="Bookman Old Style" w:hAnsi="Bookman Old Style"/>
          <w:sz w:val="26"/>
        </w:rPr>
        <w:t>, then you should not include [him][her] when considering damages.</w:t>
      </w:r>
    </w:p>
    <w:p w:rsidR="005165F3" w:rsidRDefault="005165F3">
      <w:pPr>
        <w:spacing w:line="360" w:lineRule="auto"/>
        <w:jc w:val="both"/>
        <w:rPr>
          <w:rFonts w:ascii="Bookman Old Style" w:hAnsi="Bookman Old Style"/>
          <w:sz w:val="26"/>
        </w:rPr>
      </w:pPr>
    </w:p>
    <w:p w:rsidR="005165F3" w:rsidRDefault="005165F3">
      <w:pPr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[If you find tha</w:t>
      </w:r>
      <w:r w:rsidR="00E72220">
        <w:rPr>
          <w:rFonts w:ascii="Bookman Old Style" w:hAnsi="Bookman Old Style"/>
          <w:sz w:val="26"/>
        </w:rPr>
        <w:t xml:space="preserve">t [putative dependent] </w:t>
      </w:r>
      <w:r w:rsidR="000139DF">
        <w:rPr>
          <w:rFonts w:ascii="Bookman Old Style" w:hAnsi="Bookman Old Style"/>
          <w:sz w:val="26"/>
        </w:rPr>
        <w:t>does not qualify as a dependent</w:t>
      </w:r>
      <w:r>
        <w:rPr>
          <w:rFonts w:ascii="Bookman Old Style" w:hAnsi="Bookman Old Style"/>
          <w:sz w:val="26"/>
        </w:rPr>
        <w:t xml:space="preserve">, the plaintiff may still maintain this lawsuit for the benefit of </w:t>
      </w:r>
      <w:r w:rsidR="0006666F">
        <w:rPr>
          <w:rFonts w:ascii="Bookman Old Style" w:hAnsi="Bookman Old Style"/>
          <w:sz w:val="26"/>
        </w:rPr>
        <w:t>[</w:t>
      </w:r>
      <w:r w:rsidR="00900628">
        <w:rPr>
          <w:rFonts w:ascii="Bookman Old Style" w:hAnsi="Bookman Old Style"/>
          <w:sz w:val="26"/>
        </w:rPr>
        <w:t>decedent</w:t>
      </w:r>
      <w:r w:rsidR="0006666F">
        <w:rPr>
          <w:rFonts w:ascii="Bookman Old Style" w:hAnsi="Bookman Old Style"/>
          <w:sz w:val="26"/>
        </w:rPr>
        <w:t>]</w:t>
      </w:r>
      <w:r w:rsidR="00343410">
        <w:rPr>
          <w:rFonts w:ascii="Bookman Old Style" w:hAnsi="Bookman Old Style"/>
          <w:sz w:val="26"/>
        </w:rPr>
        <w:t xml:space="preserve">'s estate. </w:t>
      </w:r>
      <w:r>
        <w:rPr>
          <w:rFonts w:ascii="Bookman Old Style" w:hAnsi="Bookman Old Style"/>
          <w:sz w:val="26"/>
        </w:rPr>
        <w:t xml:space="preserve">Then, if you find that the </w:t>
      </w:r>
      <w:r w:rsidR="00900628">
        <w:rPr>
          <w:rFonts w:ascii="Bookman Old Style" w:hAnsi="Bookman Old Style"/>
          <w:sz w:val="26"/>
        </w:rPr>
        <w:t>estate</w:t>
      </w:r>
      <w:r>
        <w:rPr>
          <w:rFonts w:ascii="Bookman Old Style" w:hAnsi="Bookman Old Style"/>
          <w:sz w:val="26"/>
        </w:rPr>
        <w:t xml:space="preserve"> is entitled to </w:t>
      </w:r>
      <w:r w:rsidR="00C1473C">
        <w:rPr>
          <w:rFonts w:ascii="Bookman Old Style" w:hAnsi="Bookman Old Style"/>
          <w:sz w:val="26"/>
        </w:rPr>
        <w:t>recover damages</w:t>
      </w:r>
      <w:r>
        <w:rPr>
          <w:rFonts w:ascii="Bookman Old Style" w:hAnsi="Bookman Old Style"/>
          <w:sz w:val="26"/>
        </w:rPr>
        <w:t>, in calculating the amount of compensation you should refer only to Instruction No. _____ and not to Instruction No. _____.]</w:t>
      </w:r>
    </w:p>
    <w:p w:rsidR="005165F3" w:rsidRDefault="005165F3">
      <w:pPr>
        <w:spacing w:line="360" w:lineRule="auto"/>
        <w:jc w:val="both"/>
        <w:rPr>
          <w:rFonts w:ascii="Bookman Old Style" w:hAnsi="Bookman Old Style"/>
          <w:sz w:val="26"/>
        </w:rPr>
      </w:pPr>
    </w:p>
    <w:p w:rsidR="005165F3" w:rsidRDefault="005165F3">
      <w:pPr>
        <w:spacing w:line="360" w:lineRule="auto"/>
        <w:jc w:val="both"/>
        <w:rPr>
          <w:rFonts w:ascii="Bookman Old Style" w:hAnsi="Bookman Old Style"/>
          <w:sz w:val="26"/>
        </w:rPr>
      </w:pPr>
    </w:p>
    <w:p w:rsidR="005165F3" w:rsidRPr="00956BF6" w:rsidRDefault="005165F3">
      <w:pPr>
        <w:pStyle w:val="Heading1"/>
        <w:rPr>
          <w:b/>
          <w:u w:val="none"/>
        </w:rPr>
      </w:pPr>
      <w:r w:rsidRPr="00956BF6">
        <w:rPr>
          <w:b/>
          <w:u w:val="none"/>
        </w:rPr>
        <w:t>Use Note</w:t>
      </w:r>
    </w:p>
    <w:p w:rsidR="005165F3" w:rsidRDefault="005165F3">
      <w:pPr>
        <w:jc w:val="both"/>
        <w:rPr>
          <w:rFonts w:ascii="Bookman Old Style" w:hAnsi="Bookman Old Style"/>
          <w:sz w:val="26"/>
        </w:rPr>
      </w:pPr>
    </w:p>
    <w:p w:rsidR="005165F3" w:rsidRDefault="005165F3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</w:t>
      </w:r>
      <w:r w:rsidR="004B701E">
        <w:rPr>
          <w:rFonts w:ascii="Bookman Old Style" w:hAnsi="Bookman Old Style"/>
          <w:sz w:val="26"/>
        </w:rPr>
        <w:t>is instruction</w:t>
      </w:r>
      <w:r>
        <w:rPr>
          <w:rFonts w:ascii="Bookman Old Style" w:hAnsi="Bookman Old Style"/>
          <w:sz w:val="26"/>
        </w:rPr>
        <w:t xml:space="preserve"> includes three numbered subparagraphs set</w:t>
      </w:r>
      <w:r w:rsidR="001D3AAA">
        <w:rPr>
          <w:rFonts w:ascii="Bookman Old Style" w:hAnsi="Bookman Old Style"/>
          <w:sz w:val="26"/>
        </w:rPr>
        <w:t>ting</w:t>
      </w:r>
      <w:r>
        <w:rPr>
          <w:rFonts w:ascii="Bookman Old Style" w:hAnsi="Bookman Old Style"/>
          <w:sz w:val="26"/>
        </w:rPr>
        <w:t xml:space="preserve"> forth the requirements </w:t>
      </w:r>
      <w:r w:rsidR="001D3AAA">
        <w:rPr>
          <w:rFonts w:ascii="Bookman Old Style" w:hAnsi="Bookman Old Style"/>
          <w:sz w:val="26"/>
        </w:rPr>
        <w:t>that</w:t>
      </w:r>
      <w:r>
        <w:rPr>
          <w:rFonts w:ascii="Bookman Old Style" w:hAnsi="Bookman Old Style"/>
          <w:sz w:val="26"/>
        </w:rPr>
        <w:t xml:space="preserve"> must be met </w:t>
      </w:r>
      <w:r w:rsidR="001D3AAA">
        <w:rPr>
          <w:rFonts w:ascii="Bookman Old Style" w:hAnsi="Bookman Old Style"/>
          <w:sz w:val="26"/>
        </w:rPr>
        <w:t xml:space="preserve">for someone </w:t>
      </w:r>
      <w:r>
        <w:rPr>
          <w:rFonts w:ascii="Bookman Old Style" w:hAnsi="Bookman Old Style"/>
          <w:sz w:val="26"/>
        </w:rPr>
        <w:t>to qualify as an "other dependent"</w:t>
      </w:r>
      <w:r w:rsidR="004B701E">
        <w:rPr>
          <w:rFonts w:ascii="Bookman Old Style" w:hAnsi="Bookman Old Style"/>
          <w:sz w:val="26"/>
        </w:rPr>
        <w:t xml:space="preserve"> </w:t>
      </w:r>
      <w:r w:rsidR="004B701E" w:rsidRPr="00CA61BA">
        <w:rPr>
          <w:rFonts w:ascii="Bookman Old Style" w:hAnsi="Bookman Old Style"/>
          <w:sz w:val="26"/>
        </w:rPr>
        <w:t>u</w:t>
      </w:r>
      <w:r w:rsidR="004B701E" w:rsidRPr="00CA7518">
        <w:rPr>
          <w:rFonts w:ascii="Bookman Old Style" w:hAnsi="Bookman Old Style"/>
          <w:sz w:val="26"/>
        </w:rPr>
        <w:t xml:space="preserve">nder AS </w:t>
      </w:r>
      <w:r w:rsidR="004B701E" w:rsidRPr="008A40C3">
        <w:rPr>
          <w:rFonts w:ascii="Bookman Old Style" w:hAnsi="Bookman Old Style"/>
          <w:sz w:val="26"/>
        </w:rPr>
        <w:t>09.55.580.</w:t>
      </w:r>
      <w:r>
        <w:rPr>
          <w:rFonts w:ascii="Bookman Old Style" w:hAnsi="Bookman Old Style"/>
          <w:sz w:val="26"/>
        </w:rPr>
        <w:t xml:space="preserve"> Subparagraphs </w:t>
      </w:r>
      <w:r w:rsidR="001D3AAA">
        <w:rPr>
          <w:rFonts w:ascii="Bookman Old Style" w:hAnsi="Bookman Old Style"/>
          <w:sz w:val="26"/>
        </w:rPr>
        <w:t>(</w:t>
      </w:r>
      <w:r>
        <w:rPr>
          <w:rFonts w:ascii="Bookman Old Style" w:hAnsi="Bookman Old Style"/>
          <w:sz w:val="26"/>
        </w:rPr>
        <w:t>2</w:t>
      </w:r>
      <w:r w:rsidR="001D3AAA">
        <w:rPr>
          <w:rFonts w:ascii="Bookman Old Style" w:hAnsi="Bookman Old Style"/>
          <w:sz w:val="26"/>
        </w:rPr>
        <w:t>)</w:t>
      </w:r>
      <w:r>
        <w:rPr>
          <w:rFonts w:ascii="Bookman Old Style" w:hAnsi="Bookman Old Style"/>
          <w:sz w:val="26"/>
        </w:rPr>
        <w:t xml:space="preserve"> and </w:t>
      </w:r>
      <w:r w:rsidR="001D3AAA">
        <w:rPr>
          <w:rFonts w:ascii="Bookman Old Style" w:hAnsi="Bookman Old Style"/>
          <w:sz w:val="26"/>
        </w:rPr>
        <w:t>(</w:t>
      </w:r>
      <w:r>
        <w:rPr>
          <w:rFonts w:ascii="Bookman Old Style" w:hAnsi="Bookman Old Style"/>
          <w:sz w:val="26"/>
        </w:rPr>
        <w:t>3</w:t>
      </w:r>
      <w:r w:rsidR="001D3AAA">
        <w:rPr>
          <w:rFonts w:ascii="Bookman Old Style" w:hAnsi="Bookman Old Style"/>
          <w:sz w:val="26"/>
        </w:rPr>
        <w:t>)</w:t>
      </w:r>
      <w:r>
        <w:rPr>
          <w:rFonts w:ascii="Bookman Old Style" w:hAnsi="Bookman Old Style"/>
          <w:sz w:val="26"/>
        </w:rPr>
        <w:t xml:space="preserve"> should be </w:t>
      </w:r>
      <w:r w:rsidR="001D3AAA">
        <w:rPr>
          <w:rFonts w:ascii="Bookman Old Style" w:hAnsi="Bookman Old Style"/>
          <w:sz w:val="26"/>
        </w:rPr>
        <w:t>used in</w:t>
      </w:r>
      <w:r>
        <w:rPr>
          <w:rFonts w:ascii="Bookman Old Style" w:hAnsi="Bookman Old Style"/>
          <w:sz w:val="26"/>
        </w:rPr>
        <w:t xml:space="preserve"> all cases.  Subparagraph </w:t>
      </w:r>
      <w:r w:rsidR="001D3AAA">
        <w:rPr>
          <w:rFonts w:ascii="Bookman Old Style" w:hAnsi="Bookman Old Style"/>
          <w:sz w:val="26"/>
        </w:rPr>
        <w:t>(</w:t>
      </w:r>
      <w:r>
        <w:rPr>
          <w:rFonts w:ascii="Bookman Old Style" w:hAnsi="Bookman Old Style"/>
          <w:sz w:val="26"/>
        </w:rPr>
        <w:t>1</w:t>
      </w:r>
      <w:r w:rsidR="001D3AAA">
        <w:rPr>
          <w:rFonts w:ascii="Bookman Old Style" w:hAnsi="Bookman Old Style"/>
          <w:sz w:val="26"/>
        </w:rPr>
        <w:t>)</w:t>
      </w:r>
      <w:r>
        <w:rPr>
          <w:rFonts w:ascii="Bookman Old Style" w:hAnsi="Bookman Old Style"/>
          <w:sz w:val="26"/>
        </w:rPr>
        <w:t xml:space="preserve"> must be modified to reflect the particular close familial relationship claimed in the individual case.  Examples:</w:t>
      </w:r>
    </w:p>
    <w:p w:rsidR="005165F3" w:rsidRDefault="005165F3">
      <w:pPr>
        <w:rPr>
          <w:rFonts w:ascii="Bookman Old Style" w:hAnsi="Bookman Old Style"/>
          <w:sz w:val="26"/>
        </w:rPr>
      </w:pPr>
    </w:p>
    <w:p w:rsidR="005165F3" w:rsidRDefault="005165F3" w:rsidP="00822F3C">
      <w:pPr>
        <w:pStyle w:val="BodyText"/>
        <w:numPr>
          <w:ilvl w:val="0"/>
          <w:numId w:val="1"/>
        </w:numPr>
        <w:tabs>
          <w:tab w:val="left" w:pos="720"/>
          <w:tab w:val="left" w:pos="1080"/>
        </w:tabs>
        <w:ind w:right="720"/>
      </w:pPr>
      <w:r>
        <w:t>"At the time of death, the claimant's relationship to the deceased was similar to that of a (husband) (wife)."</w:t>
      </w:r>
    </w:p>
    <w:p w:rsidR="005165F3" w:rsidRDefault="005165F3" w:rsidP="00822F3C">
      <w:pPr>
        <w:pStyle w:val="BodyText"/>
        <w:numPr>
          <w:ilvl w:val="12"/>
          <w:numId w:val="0"/>
        </w:numPr>
        <w:tabs>
          <w:tab w:val="left" w:pos="720"/>
        </w:tabs>
        <w:ind w:left="720" w:right="720"/>
      </w:pPr>
    </w:p>
    <w:p w:rsidR="005165F3" w:rsidRDefault="005165F3" w:rsidP="00822F3C">
      <w:pPr>
        <w:pStyle w:val="BodyText"/>
        <w:numPr>
          <w:ilvl w:val="0"/>
          <w:numId w:val="1"/>
        </w:numPr>
        <w:tabs>
          <w:tab w:val="left" w:pos="720"/>
          <w:tab w:val="left" w:pos="1080"/>
        </w:tabs>
        <w:ind w:right="720"/>
      </w:pPr>
      <w:r>
        <w:t>"At the time of death, the claimant's relationship to the deceased was similar to that of a child."</w:t>
      </w:r>
    </w:p>
    <w:p w:rsidR="005165F3" w:rsidRDefault="005165F3" w:rsidP="00822F3C">
      <w:pPr>
        <w:pStyle w:val="BodyText"/>
        <w:numPr>
          <w:ilvl w:val="12"/>
          <w:numId w:val="0"/>
        </w:numPr>
        <w:tabs>
          <w:tab w:val="left" w:pos="720"/>
        </w:tabs>
        <w:ind w:left="720" w:right="720"/>
      </w:pPr>
    </w:p>
    <w:p w:rsidR="005165F3" w:rsidRDefault="005165F3" w:rsidP="00822F3C">
      <w:pPr>
        <w:pStyle w:val="BodyText"/>
        <w:numPr>
          <w:ilvl w:val="0"/>
          <w:numId w:val="1"/>
        </w:numPr>
        <w:tabs>
          <w:tab w:val="left" w:pos="720"/>
          <w:tab w:val="left" w:pos="1080"/>
        </w:tabs>
        <w:ind w:right="720"/>
      </w:pPr>
      <w:r>
        <w:t>"The claimant was the (father) (mother) of the deceased."</w:t>
      </w:r>
    </w:p>
    <w:p w:rsidR="005165F3" w:rsidRDefault="005165F3">
      <w:pPr>
        <w:rPr>
          <w:rFonts w:ascii="Bookman Old Style" w:hAnsi="Bookman Old Style"/>
          <w:sz w:val="26"/>
        </w:rPr>
      </w:pPr>
    </w:p>
    <w:p w:rsidR="005165F3" w:rsidRDefault="005165F3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Where the court finds as a matter of law that the claimant</w:t>
      </w:r>
      <w:r w:rsidR="00B77D6C">
        <w:rPr>
          <w:rFonts w:ascii="Bookman Old Style" w:hAnsi="Bookman Old Style"/>
          <w:sz w:val="26"/>
        </w:rPr>
        <w:t xml:space="preserve"> has a close familial</w:t>
      </w:r>
      <w:r>
        <w:rPr>
          <w:rFonts w:ascii="Bookman Old Style" w:hAnsi="Bookman Old Style"/>
          <w:sz w:val="26"/>
        </w:rPr>
        <w:t xml:space="preserve"> relationship to the decedent</w:t>
      </w:r>
      <w:r w:rsidR="00B77D6C">
        <w:rPr>
          <w:rFonts w:ascii="Bookman Old Style" w:hAnsi="Bookman Old Style"/>
          <w:sz w:val="26"/>
        </w:rPr>
        <w:t>,</w:t>
      </w:r>
      <w:r>
        <w:rPr>
          <w:rFonts w:ascii="Bookman Old Style" w:hAnsi="Bookman Old Style"/>
          <w:sz w:val="26"/>
        </w:rPr>
        <w:t xml:space="preserve"> subparagraph</w:t>
      </w:r>
      <w:r w:rsidR="00B77D6C">
        <w:rPr>
          <w:rFonts w:ascii="Bookman Old Style" w:hAnsi="Bookman Old Style"/>
          <w:sz w:val="26"/>
        </w:rPr>
        <w:t xml:space="preserve"> (1)</w:t>
      </w:r>
      <w:r>
        <w:rPr>
          <w:rFonts w:ascii="Bookman Old Style" w:hAnsi="Bookman Old Style"/>
          <w:sz w:val="26"/>
        </w:rPr>
        <w:t xml:space="preserve"> should be omitted from the instruction. </w:t>
      </w:r>
    </w:p>
    <w:p w:rsidR="005165F3" w:rsidRDefault="005165F3">
      <w:pPr>
        <w:rPr>
          <w:rFonts w:ascii="Bookman Old Style" w:hAnsi="Bookman Old Style"/>
          <w:sz w:val="26"/>
        </w:rPr>
      </w:pPr>
    </w:p>
    <w:p w:rsidR="005165F3" w:rsidRDefault="005165F3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Where the status of all claimants is disputed and the jury could find that there are no statutory beneficiaries, include the final bracketed paragraph</w:t>
      </w:r>
      <w:r w:rsidR="00B77D6C">
        <w:rPr>
          <w:rFonts w:ascii="Bookman Old Style" w:hAnsi="Bookman Old Style"/>
          <w:sz w:val="26"/>
        </w:rPr>
        <w:t xml:space="preserve"> of the instruction</w:t>
      </w:r>
      <w:r>
        <w:rPr>
          <w:rFonts w:ascii="Bookman Old Style" w:hAnsi="Bookman Old Style"/>
          <w:sz w:val="26"/>
        </w:rPr>
        <w:t>.</w:t>
      </w:r>
    </w:p>
    <w:p w:rsidR="005165F3" w:rsidRDefault="005165F3">
      <w:pPr>
        <w:rPr>
          <w:rFonts w:ascii="Bookman Old Style" w:hAnsi="Bookman Old Style"/>
          <w:sz w:val="26"/>
        </w:rPr>
      </w:pPr>
    </w:p>
    <w:p w:rsidR="00B57112" w:rsidRDefault="00B57112">
      <w:pPr>
        <w:rPr>
          <w:rFonts w:ascii="Bookman Old Style" w:hAnsi="Bookman Old Style"/>
          <w:sz w:val="26"/>
        </w:rPr>
      </w:pPr>
    </w:p>
    <w:p w:rsidR="00256831" w:rsidRDefault="00256831">
      <w:pPr>
        <w:rPr>
          <w:rFonts w:ascii="Bookman Old Style" w:hAnsi="Bookman Old Style"/>
          <w:sz w:val="26"/>
        </w:rPr>
      </w:pPr>
    </w:p>
    <w:p w:rsidR="005165F3" w:rsidRPr="00956BF6" w:rsidRDefault="005165F3" w:rsidP="00256831">
      <w:pPr>
        <w:jc w:val="center"/>
        <w:rPr>
          <w:rFonts w:ascii="Bookman Old Style" w:hAnsi="Bookman Old Style"/>
          <w:b/>
          <w:sz w:val="26"/>
        </w:rPr>
      </w:pPr>
      <w:r w:rsidRPr="00956BF6">
        <w:rPr>
          <w:rFonts w:ascii="Bookman Old Style" w:hAnsi="Bookman Old Style"/>
          <w:b/>
          <w:sz w:val="26"/>
        </w:rPr>
        <w:lastRenderedPageBreak/>
        <w:t>Comment</w:t>
      </w:r>
    </w:p>
    <w:p w:rsidR="005165F3" w:rsidRDefault="005165F3">
      <w:pPr>
        <w:rPr>
          <w:rFonts w:ascii="Bookman Old Style" w:hAnsi="Bookman Old Style"/>
          <w:sz w:val="26"/>
        </w:rPr>
      </w:pPr>
    </w:p>
    <w:p w:rsidR="005165F3" w:rsidRPr="00A606DB" w:rsidRDefault="005165F3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AS 09.55.580 provides that, when the decedent is survived by a spouse or children, or "other dependents," the amount recovered </w:t>
      </w:r>
      <w:r w:rsidR="003E7354">
        <w:rPr>
          <w:rFonts w:ascii="Bookman Old Style" w:hAnsi="Bookman Old Style"/>
          <w:sz w:val="26"/>
        </w:rPr>
        <w:t xml:space="preserve">in a wrongful death action </w:t>
      </w:r>
      <w:r>
        <w:rPr>
          <w:rFonts w:ascii="Bookman Old Style" w:hAnsi="Bookman Old Style"/>
          <w:sz w:val="26"/>
        </w:rPr>
        <w:t>shall be excl</w:t>
      </w:r>
      <w:r w:rsidR="003E7354">
        <w:rPr>
          <w:rFonts w:ascii="Bookman Old Style" w:hAnsi="Bookman Old Style"/>
          <w:sz w:val="26"/>
        </w:rPr>
        <w:t>usively for their benefit. I</w:t>
      </w:r>
      <w:r w:rsidR="004B701E">
        <w:rPr>
          <w:rFonts w:ascii="Bookman Old Style" w:hAnsi="Bookman Old Style"/>
          <w:sz w:val="26"/>
        </w:rPr>
        <w:t>nstruction</w:t>
      </w:r>
      <w:r>
        <w:rPr>
          <w:rFonts w:ascii="Bookman Old Style" w:hAnsi="Bookman Old Style"/>
          <w:sz w:val="26"/>
        </w:rPr>
        <w:t xml:space="preserve"> </w:t>
      </w:r>
      <w:r w:rsidR="003E7354">
        <w:rPr>
          <w:rFonts w:ascii="Bookman Old Style" w:hAnsi="Bookman Old Style"/>
          <w:sz w:val="26"/>
        </w:rPr>
        <w:t xml:space="preserve">04.05A </w:t>
      </w:r>
      <w:r>
        <w:rPr>
          <w:rFonts w:ascii="Bookman Old Style" w:hAnsi="Bookman Old Style"/>
          <w:sz w:val="26"/>
        </w:rPr>
        <w:t xml:space="preserve">sets forth three requirements which must be met </w:t>
      </w:r>
      <w:r w:rsidR="00B4161B">
        <w:rPr>
          <w:rFonts w:ascii="Bookman Old Style" w:hAnsi="Bookman Old Style"/>
          <w:sz w:val="26"/>
        </w:rPr>
        <w:t xml:space="preserve">for a claimant </w:t>
      </w:r>
      <w:r>
        <w:rPr>
          <w:rFonts w:ascii="Bookman Old Style" w:hAnsi="Bookman Old Style"/>
          <w:sz w:val="26"/>
        </w:rPr>
        <w:t>to qualify as an "other dependent."</w:t>
      </w:r>
      <w:r w:rsidR="003E7354">
        <w:rPr>
          <w:rFonts w:ascii="Bookman Old Style" w:hAnsi="Bookman Old Style"/>
          <w:sz w:val="26"/>
        </w:rPr>
        <w:t xml:space="preserve"> </w:t>
      </w:r>
      <w:r w:rsidR="00527BB6">
        <w:rPr>
          <w:rFonts w:ascii="Bookman Old Style" w:hAnsi="Bookman Old Style"/>
          <w:sz w:val="26"/>
        </w:rPr>
        <w:t>The instruction is based o</w:t>
      </w:r>
      <w:r w:rsidR="00A606DB">
        <w:rPr>
          <w:rFonts w:ascii="Bookman Old Style" w:hAnsi="Bookman Old Style"/>
          <w:sz w:val="26"/>
        </w:rPr>
        <w:t xml:space="preserve">n </w:t>
      </w:r>
      <w:r w:rsidR="00A606DB">
        <w:rPr>
          <w:rFonts w:ascii="Bookman Old Style" w:hAnsi="Bookman Old Style"/>
          <w:i/>
          <w:sz w:val="26"/>
        </w:rPr>
        <w:t xml:space="preserve">Greer Tank &amp; Welding, Inc. </w:t>
      </w:r>
      <w:r w:rsidR="00860FF2">
        <w:rPr>
          <w:rFonts w:ascii="Bookman Old Style" w:hAnsi="Bookman Old Style"/>
          <w:i/>
          <w:sz w:val="26"/>
        </w:rPr>
        <w:t>v</w:t>
      </w:r>
      <w:r w:rsidR="00A606DB">
        <w:rPr>
          <w:rFonts w:ascii="Bookman Old Style" w:hAnsi="Bookman Old Style"/>
          <w:i/>
          <w:sz w:val="26"/>
        </w:rPr>
        <w:t>. Boettger</w:t>
      </w:r>
      <w:r w:rsidR="00A606DB">
        <w:rPr>
          <w:rFonts w:ascii="Bookman Old Style" w:hAnsi="Bookman Old Style"/>
          <w:sz w:val="26"/>
        </w:rPr>
        <w:t>, 609 P.2d 548 (Alaska 1980).</w:t>
      </w:r>
    </w:p>
    <w:p w:rsidR="005165F3" w:rsidRDefault="005165F3">
      <w:pPr>
        <w:rPr>
          <w:rFonts w:ascii="Bookman Old Style" w:hAnsi="Bookman Old Style"/>
          <w:sz w:val="26"/>
        </w:rPr>
      </w:pPr>
    </w:p>
    <w:p w:rsidR="005165F3" w:rsidRPr="00032C0D" w:rsidRDefault="00A606DB" w:rsidP="00032C0D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Enumerated paragraph (1) of the instruction</w:t>
      </w:r>
      <w:r w:rsidR="004E69CD">
        <w:rPr>
          <w:rFonts w:ascii="Bookman Old Style" w:hAnsi="Bookman Old Style"/>
          <w:sz w:val="26"/>
        </w:rPr>
        <w:t xml:space="preserve"> addresses the requirement that the claimant have a close familial relationship to the decedent in order to be considered an “other dependent.” In </w:t>
      </w:r>
      <w:r w:rsidR="004E69CD">
        <w:rPr>
          <w:rFonts w:ascii="Bookman Old Style" w:hAnsi="Bookman Old Style"/>
          <w:i/>
          <w:sz w:val="26"/>
        </w:rPr>
        <w:t>Greer Tank &amp; Welding</w:t>
      </w:r>
      <w:r w:rsidR="004E69CD">
        <w:rPr>
          <w:rFonts w:ascii="Bookman Old Style" w:hAnsi="Bookman Old Style"/>
          <w:sz w:val="26"/>
        </w:rPr>
        <w:t>, the de</w:t>
      </w:r>
      <w:r w:rsidR="00104A49">
        <w:rPr>
          <w:rFonts w:ascii="Bookman Old Style" w:hAnsi="Bookman Old Style"/>
          <w:sz w:val="26"/>
        </w:rPr>
        <w:t>cedent had divorced his former wife and had never adopted his former stepchild, but they could nevertheless assert a wrongful death claim as “other dependents” where</w:t>
      </w:r>
      <w:r w:rsidR="00032C0D">
        <w:rPr>
          <w:rFonts w:ascii="Bookman Old Style" w:hAnsi="Bookman Old Style"/>
          <w:sz w:val="26"/>
        </w:rPr>
        <w:t xml:space="preserve"> </w:t>
      </w:r>
      <w:r w:rsidR="005165F3">
        <w:rPr>
          <w:rFonts w:ascii="Bookman Old Style" w:hAnsi="Bookman Old Style"/>
          <w:sz w:val="26"/>
        </w:rPr>
        <w:t>the deceased had maintained a close relationship in th</w:t>
      </w:r>
      <w:r w:rsidR="00032C0D">
        <w:rPr>
          <w:rFonts w:ascii="Bookman Old Style" w:hAnsi="Bookman Old Style"/>
          <w:sz w:val="26"/>
        </w:rPr>
        <w:t>e nature of father and husband</w:t>
      </w:r>
      <w:r w:rsidR="005165F3">
        <w:rPr>
          <w:rFonts w:ascii="Bookman Old Style" w:hAnsi="Bookman Old Style"/>
          <w:sz w:val="26"/>
        </w:rPr>
        <w:t xml:space="preserve">. </w:t>
      </w:r>
      <w:r w:rsidR="00032C0D">
        <w:rPr>
          <w:rFonts w:ascii="Bookman Old Style" w:hAnsi="Bookman Old Style"/>
          <w:sz w:val="26"/>
        </w:rPr>
        <w:t>609 P.2d at 550-51.</w:t>
      </w:r>
      <w:r w:rsidR="005165F3">
        <w:rPr>
          <w:rFonts w:ascii="Bookman Old Style" w:hAnsi="Bookman Old Style"/>
          <w:sz w:val="26"/>
        </w:rPr>
        <w:t xml:space="preserve"> </w:t>
      </w:r>
      <w:r w:rsidR="00032C0D">
        <w:rPr>
          <w:rFonts w:ascii="Bookman Old Style" w:hAnsi="Bookman Old Style"/>
          <w:i/>
          <w:sz w:val="26"/>
        </w:rPr>
        <w:t>See North Slope Borough v. Brower</w:t>
      </w:r>
      <w:r w:rsidR="00032C0D">
        <w:rPr>
          <w:rFonts w:ascii="Bookman Old Style" w:hAnsi="Bookman Old Style"/>
          <w:sz w:val="26"/>
        </w:rPr>
        <w:t>, 215 P.3d 308 (Alaska 2009)(affirming award of wrongful death damages to mother of decedent as an “other dependent”).</w:t>
      </w:r>
    </w:p>
    <w:p w:rsidR="00BC28DE" w:rsidRDefault="00BC28DE">
      <w:pPr>
        <w:jc w:val="both"/>
        <w:rPr>
          <w:rFonts w:ascii="Bookman Old Style" w:hAnsi="Bookman Old Style"/>
          <w:sz w:val="26"/>
        </w:rPr>
      </w:pPr>
    </w:p>
    <w:p w:rsidR="005165F3" w:rsidRDefault="00B2146D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Enumerated paragraph (2)</w:t>
      </w:r>
      <w:r w:rsidR="004E1A70">
        <w:rPr>
          <w:rFonts w:ascii="Bookman Old Style" w:hAnsi="Bookman Old Style"/>
          <w:sz w:val="26"/>
        </w:rPr>
        <w:t xml:space="preserve"> sets forth the requirement that the claimant was actually dependent on financial support from the decedent at the time of death. </w:t>
      </w:r>
      <w:r w:rsidR="004E1A70">
        <w:rPr>
          <w:rFonts w:ascii="Bookman Old Style" w:hAnsi="Bookman Old Style"/>
          <w:i/>
          <w:sz w:val="26"/>
        </w:rPr>
        <w:t>Greer Tank &amp; Welding</w:t>
      </w:r>
      <w:r w:rsidR="004E1A70">
        <w:rPr>
          <w:rFonts w:ascii="Bookman Old Style" w:hAnsi="Bookman Old Style"/>
          <w:sz w:val="26"/>
        </w:rPr>
        <w:t>, 609 P.2d at 550-51</w:t>
      </w:r>
      <w:r w:rsidR="00B80AF4">
        <w:rPr>
          <w:rFonts w:ascii="Bookman Old Style" w:hAnsi="Bookman Old Style"/>
          <w:sz w:val="26"/>
        </w:rPr>
        <w:t xml:space="preserve"> </w:t>
      </w:r>
      <w:r w:rsidR="004E1A70">
        <w:rPr>
          <w:rFonts w:ascii="Bookman Old Style" w:hAnsi="Bookman Old Style"/>
          <w:sz w:val="26"/>
        </w:rPr>
        <w:t xml:space="preserve">(“other dependents” embraces those </w:t>
      </w:r>
      <w:r w:rsidR="00FF3CEB">
        <w:rPr>
          <w:rFonts w:ascii="Bookman Old Style" w:hAnsi="Bookman Old Style"/>
          <w:sz w:val="26"/>
        </w:rPr>
        <w:t xml:space="preserve">“who were actually dependent upon the decedent for support at the time of his death”). </w:t>
      </w:r>
      <w:r w:rsidR="00FF3CEB">
        <w:rPr>
          <w:rFonts w:ascii="Bookman Old Style" w:hAnsi="Bookman Old Style"/>
          <w:i/>
          <w:sz w:val="26"/>
        </w:rPr>
        <w:t>See North Slope Borough</w:t>
      </w:r>
      <w:r>
        <w:rPr>
          <w:rFonts w:ascii="Bookman Old Style" w:hAnsi="Bookman Old Style"/>
          <w:sz w:val="26"/>
        </w:rPr>
        <w:t>, 215 P.3d at 311,</w:t>
      </w:r>
      <w:r w:rsidR="00527BB6"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sz w:val="26"/>
        </w:rPr>
        <w:t>313 (subsistence and other non-market support qualified the deceased’s mother as “other dependent”).</w:t>
      </w:r>
      <w:r w:rsidR="004E1A70">
        <w:rPr>
          <w:rFonts w:ascii="Bookman Old Style" w:hAnsi="Bookman Old Style"/>
          <w:sz w:val="26"/>
        </w:rPr>
        <w:t xml:space="preserve"> </w:t>
      </w:r>
      <w:r>
        <w:rPr>
          <w:rFonts w:ascii="Bookman Old Style" w:hAnsi="Bookman Old Style"/>
          <w:sz w:val="26"/>
        </w:rPr>
        <w:t>It is not sufficient to show that the claimant</w:t>
      </w:r>
      <w:r w:rsidR="00B80AF4">
        <w:rPr>
          <w:rFonts w:ascii="Bookman Old Style" w:hAnsi="Bookman Old Style"/>
          <w:sz w:val="26"/>
        </w:rPr>
        <w:t xml:space="preserve"> would have become dependent on the deceased in the future had the deceased survived. </w:t>
      </w:r>
      <w:r w:rsidR="00B80AF4">
        <w:rPr>
          <w:rFonts w:ascii="Bookman Old Style" w:hAnsi="Bookman Old Style"/>
          <w:i/>
          <w:sz w:val="26"/>
        </w:rPr>
        <w:t>I</w:t>
      </w:r>
      <w:r w:rsidR="005165F3" w:rsidRPr="00900628">
        <w:rPr>
          <w:rFonts w:ascii="Bookman Old Style" w:hAnsi="Bookman Old Style"/>
          <w:i/>
          <w:sz w:val="26"/>
        </w:rPr>
        <w:t>n re Estate of Pushruk</w:t>
      </w:r>
      <w:r w:rsidR="005165F3">
        <w:rPr>
          <w:rFonts w:ascii="Bookman Old Style" w:hAnsi="Bookman Old Style"/>
          <w:sz w:val="26"/>
        </w:rPr>
        <w:t>, 562 P.2d 329, 331</w:t>
      </w:r>
      <w:r w:rsidR="00B80AF4">
        <w:rPr>
          <w:rFonts w:ascii="Bookman Old Style" w:hAnsi="Bookman Old Style"/>
          <w:sz w:val="26"/>
        </w:rPr>
        <w:t>-32</w:t>
      </w:r>
      <w:r w:rsidR="005165F3">
        <w:rPr>
          <w:rFonts w:ascii="Bookman Old Style" w:hAnsi="Bookman Old Style"/>
          <w:sz w:val="26"/>
        </w:rPr>
        <w:t xml:space="preserve"> (Alaska 1977).</w:t>
      </w:r>
    </w:p>
    <w:p w:rsidR="00B80AF4" w:rsidRDefault="00B80AF4">
      <w:pPr>
        <w:jc w:val="both"/>
        <w:rPr>
          <w:rFonts w:ascii="Bookman Old Style" w:hAnsi="Bookman Old Style"/>
          <w:sz w:val="26"/>
        </w:rPr>
      </w:pPr>
    </w:p>
    <w:p w:rsidR="00B80AF4" w:rsidRDefault="00B80AF4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Enumerated paragraph (3) addresses the requirement that the contributions to the claimant’s support would have continued had the deceased lived. </w:t>
      </w:r>
      <w:r>
        <w:rPr>
          <w:rFonts w:ascii="Bookman Old Style" w:hAnsi="Bookman Old Style"/>
          <w:i/>
          <w:sz w:val="26"/>
        </w:rPr>
        <w:t>Greer Tank &amp; Welding</w:t>
      </w:r>
      <w:r>
        <w:rPr>
          <w:rFonts w:ascii="Bookman Old Style" w:hAnsi="Bookman Old Style"/>
          <w:sz w:val="26"/>
        </w:rPr>
        <w:t xml:space="preserve">, 609 P.2d </w:t>
      </w:r>
      <w:r w:rsidR="00224816">
        <w:rPr>
          <w:rFonts w:ascii="Bookman Old Style" w:hAnsi="Bookman Old Style"/>
          <w:sz w:val="26"/>
        </w:rPr>
        <w:t>at 5</w:t>
      </w:r>
      <w:r>
        <w:rPr>
          <w:rFonts w:ascii="Bookman Old Style" w:hAnsi="Bookman Old Style"/>
          <w:sz w:val="26"/>
        </w:rPr>
        <w:t>51</w:t>
      </w:r>
      <w:r w:rsidR="00224816">
        <w:rPr>
          <w:rFonts w:ascii="Bookman Old Style" w:hAnsi="Bookman Old Style"/>
          <w:sz w:val="26"/>
        </w:rPr>
        <w:t xml:space="preserve"> (“A showing must be made of actual dependency for significant contributions of support over a sufficient period of time to justify the assumption that such contributions would have continued</w:t>
      </w:r>
      <w:r w:rsidR="00F643DF">
        <w:rPr>
          <w:rFonts w:ascii="Bookman Old Style" w:hAnsi="Bookman Old Style"/>
          <w:sz w:val="26"/>
        </w:rPr>
        <w:t>.</w:t>
      </w:r>
      <w:r w:rsidR="00224816">
        <w:rPr>
          <w:rFonts w:ascii="Bookman Old Style" w:hAnsi="Bookman Old Style"/>
          <w:sz w:val="26"/>
        </w:rPr>
        <w:t>”).</w:t>
      </w:r>
    </w:p>
    <w:p w:rsidR="005165F3" w:rsidRDefault="005165F3">
      <w:pPr>
        <w:rPr>
          <w:rFonts w:ascii="Bookman Old Style" w:hAnsi="Bookman Old Style"/>
          <w:sz w:val="26"/>
        </w:rPr>
      </w:pPr>
    </w:p>
    <w:p w:rsidR="00BA3DB7" w:rsidRPr="00BA3DB7" w:rsidRDefault="00561009">
      <w:pPr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“Other </w:t>
      </w:r>
      <w:r w:rsidR="005165F3">
        <w:rPr>
          <w:rFonts w:ascii="Bookman Old Style" w:hAnsi="Bookman Old Style"/>
          <w:sz w:val="26"/>
        </w:rPr>
        <w:t xml:space="preserve">dependents" may recover even if the deceased is survived by a spouse </w:t>
      </w:r>
      <w:r w:rsidR="00224816">
        <w:rPr>
          <w:rFonts w:ascii="Bookman Old Style" w:hAnsi="Bookman Old Style"/>
          <w:sz w:val="26"/>
        </w:rPr>
        <w:t>or natural child</w:t>
      </w:r>
      <w:r w:rsidR="005165F3">
        <w:rPr>
          <w:rFonts w:ascii="Bookman Old Style" w:hAnsi="Bookman Old Style"/>
          <w:sz w:val="26"/>
        </w:rPr>
        <w:t xml:space="preserve">.  In </w:t>
      </w:r>
      <w:r w:rsidR="005165F3" w:rsidRPr="00900628">
        <w:rPr>
          <w:rFonts w:ascii="Bookman Old Style" w:hAnsi="Bookman Old Style"/>
          <w:i/>
          <w:sz w:val="26"/>
        </w:rPr>
        <w:t>Greer Tank</w:t>
      </w:r>
      <w:r w:rsidR="00224816">
        <w:rPr>
          <w:rFonts w:ascii="Bookman Old Style" w:hAnsi="Bookman Old Style"/>
          <w:i/>
          <w:sz w:val="26"/>
        </w:rPr>
        <w:t xml:space="preserve"> &amp; Welding</w:t>
      </w:r>
      <w:r w:rsidR="005165F3">
        <w:rPr>
          <w:rFonts w:ascii="Bookman Old Style" w:hAnsi="Bookman Old Style"/>
          <w:sz w:val="26"/>
        </w:rPr>
        <w:t xml:space="preserve">, the </w:t>
      </w:r>
      <w:r w:rsidR="00013BB8">
        <w:rPr>
          <w:rFonts w:ascii="Bookman Old Style" w:hAnsi="Bookman Old Style"/>
          <w:sz w:val="26"/>
        </w:rPr>
        <w:t xml:space="preserve">former wife and former stepchild were allowed to assert a wrongful death claim as “other </w:t>
      </w:r>
      <w:r w:rsidR="00013BB8">
        <w:rPr>
          <w:rFonts w:ascii="Bookman Old Style" w:hAnsi="Bookman Old Style"/>
          <w:sz w:val="26"/>
        </w:rPr>
        <w:lastRenderedPageBreak/>
        <w:t>dependents” even though the decedent was survived by a biological child.</w:t>
      </w:r>
      <w:r>
        <w:rPr>
          <w:rFonts w:ascii="Bookman Old Style" w:hAnsi="Bookman Old Style"/>
          <w:sz w:val="26"/>
        </w:rPr>
        <w:t xml:space="preserve"> </w:t>
      </w:r>
      <w:r w:rsidR="005165F3" w:rsidRPr="00900628">
        <w:rPr>
          <w:rFonts w:ascii="Bookman Old Style" w:hAnsi="Bookman Old Style"/>
          <w:i/>
          <w:sz w:val="26"/>
        </w:rPr>
        <w:t>I</w:t>
      </w:r>
      <w:r w:rsidR="00527BB6">
        <w:rPr>
          <w:rFonts w:ascii="Bookman Old Style" w:hAnsi="Bookman Old Style"/>
          <w:i/>
          <w:sz w:val="26"/>
        </w:rPr>
        <w:t>d.</w:t>
      </w:r>
      <w:r w:rsidR="00527BB6">
        <w:rPr>
          <w:rFonts w:ascii="Bookman Old Style" w:hAnsi="Bookman Old Style"/>
          <w:sz w:val="26"/>
        </w:rPr>
        <w:t xml:space="preserve"> </w:t>
      </w:r>
      <w:r w:rsidR="005165F3">
        <w:rPr>
          <w:rFonts w:ascii="Bookman Old Style" w:hAnsi="Bookman Old Style"/>
          <w:sz w:val="26"/>
        </w:rPr>
        <w:t xml:space="preserve">at 549. </w:t>
      </w:r>
    </w:p>
    <w:p w:rsidR="005165F3" w:rsidRDefault="005165F3">
      <w:pPr>
        <w:rPr>
          <w:rFonts w:ascii="Bookman Old Style" w:hAnsi="Bookman Old Style"/>
          <w:sz w:val="26"/>
        </w:rPr>
      </w:pPr>
    </w:p>
    <w:p w:rsidR="00AE2392" w:rsidRPr="00900628" w:rsidRDefault="00AE2392" w:rsidP="00B3781B">
      <w:pPr>
        <w:jc w:val="both"/>
        <w:rPr>
          <w:rFonts w:ascii="Bookman Old Style" w:hAnsi="Bookman Old Style"/>
          <w:i/>
          <w:sz w:val="26"/>
        </w:rPr>
      </w:pPr>
      <w:r>
        <w:rPr>
          <w:rFonts w:ascii="Bookman Old Style" w:hAnsi="Bookman Old Style"/>
          <w:sz w:val="26"/>
        </w:rPr>
        <w:t>This in</w:t>
      </w:r>
      <w:r w:rsidR="00C835C2">
        <w:rPr>
          <w:rFonts w:ascii="Bookman Old Style" w:hAnsi="Bookman Old Style"/>
          <w:sz w:val="26"/>
        </w:rPr>
        <w:t>struction applies</w:t>
      </w:r>
      <w:r>
        <w:rPr>
          <w:rFonts w:ascii="Bookman Old Style" w:hAnsi="Bookman Old Style"/>
          <w:sz w:val="26"/>
        </w:rPr>
        <w:t xml:space="preserve"> </w:t>
      </w:r>
      <w:r w:rsidR="005A3CDC">
        <w:rPr>
          <w:rFonts w:ascii="Bookman Old Style" w:hAnsi="Bookman Old Style"/>
          <w:sz w:val="26"/>
        </w:rPr>
        <w:t xml:space="preserve">when there are </w:t>
      </w:r>
      <w:r w:rsidR="0070639A">
        <w:rPr>
          <w:rFonts w:ascii="Bookman Old Style" w:hAnsi="Bookman Old Style"/>
          <w:sz w:val="26"/>
        </w:rPr>
        <w:t>person</w:t>
      </w:r>
      <w:r w:rsidR="005A3CDC">
        <w:rPr>
          <w:rFonts w:ascii="Bookman Old Style" w:hAnsi="Bookman Old Style"/>
          <w:sz w:val="26"/>
        </w:rPr>
        <w:t>s</w:t>
      </w:r>
      <w:r w:rsidR="0070639A">
        <w:rPr>
          <w:rFonts w:ascii="Bookman Old Style" w:hAnsi="Bookman Old Style"/>
          <w:sz w:val="26"/>
        </w:rPr>
        <w:t xml:space="preserve"> </w:t>
      </w:r>
      <w:r w:rsidR="005A3CDC">
        <w:rPr>
          <w:rFonts w:ascii="Bookman Old Style" w:hAnsi="Bookman Old Style"/>
          <w:sz w:val="26"/>
        </w:rPr>
        <w:t xml:space="preserve">claiming to be </w:t>
      </w:r>
      <w:r>
        <w:rPr>
          <w:rFonts w:ascii="Bookman Old Style" w:hAnsi="Bookman Old Style"/>
          <w:sz w:val="26"/>
        </w:rPr>
        <w:t>“oth</w:t>
      </w:r>
      <w:r w:rsidR="0070639A">
        <w:rPr>
          <w:rFonts w:ascii="Bookman Old Style" w:hAnsi="Bookman Old Style"/>
          <w:sz w:val="26"/>
        </w:rPr>
        <w:t>er dependent</w:t>
      </w:r>
      <w:r w:rsidR="005A3CDC">
        <w:rPr>
          <w:rFonts w:ascii="Bookman Old Style" w:hAnsi="Bookman Old Style"/>
          <w:sz w:val="26"/>
        </w:rPr>
        <w:t>s</w:t>
      </w:r>
      <w:r w:rsidR="0070639A">
        <w:rPr>
          <w:rFonts w:ascii="Bookman Old Style" w:hAnsi="Bookman Old Style"/>
          <w:sz w:val="26"/>
        </w:rPr>
        <w:t>” of the deceased</w:t>
      </w:r>
      <w:r w:rsidR="001954C2">
        <w:rPr>
          <w:rFonts w:ascii="Bookman Old Style" w:hAnsi="Bookman Old Style"/>
          <w:sz w:val="26"/>
        </w:rPr>
        <w:t xml:space="preserve">. It </w:t>
      </w:r>
      <w:r w:rsidR="00FD7AB3">
        <w:rPr>
          <w:rFonts w:ascii="Bookman Old Style" w:hAnsi="Bookman Old Style"/>
          <w:sz w:val="26"/>
        </w:rPr>
        <w:t xml:space="preserve">is an open question whether the “other dependent” class includes an </w:t>
      </w:r>
      <w:r w:rsidR="002B3D27">
        <w:rPr>
          <w:rFonts w:ascii="Bookman Old Style" w:hAnsi="Bookman Old Style"/>
          <w:sz w:val="26"/>
        </w:rPr>
        <w:t>adult</w:t>
      </w:r>
      <w:r w:rsidR="009D0557">
        <w:rPr>
          <w:rFonts w:ascii="Bookman Old Style" w:hAnsi="Bookman Old Style"/>
          <w:sz w:val="26"/>
        </w:rPr>
        <w:t xml:space="preserve"> </w:t>
      </w:r>
      <w:r w:rsidR="00FD7AB3">
        <w:rPr>
          <w:rFonts w:ascii="Bookman Old Style" w:hAnsi="Bookman Old Style"/>
          <w:sz w:val="26"/>
        </w:rPr>
        <w:t xml:space="preserve">natural child of the decedent. </w:t>
      </w:r>
      <w:r w:rsidR="00B57112">
        <w:rPr>
          <w:rFonts w:ascii="Bookman Old Style" w:hAnsi="Bookman Old Style"/>
          <w:sz w:val="26"/>
        </w:rPr>
        <w:t>One</w:t>
      </w:r>
      <w:r w:rsidR="00566C0B" w:rsidRPr="00BF48AB">
        <w:rPr>
          <w:rFonts w:ascii="Bookman Old Style" w:hAnsi="Bookman Old Style"/>
          <w:sz w:val="26"/>
        </w:rPr>
        <w:t xml:space="preserve"> federal court</w:t>
      </w:r>
      <w:r w:rsidR="00B57112">
        <w:rPr>
          <w:rFonts w:ascii="Bookman Old Style" w:hAnsi="Bookman Old Style"/>
          <w:sz w:val="26"/>
        </w:rPr>
        <w:t>, finding AS 09.55.580(a) to be ambiguous,</w:t>
      </w:r>
      <w:r w:rsidR="00566C0B" w:rsidRPr="00BF48AB">
        <w:rPr>
          <w:rFonts w:ascii="Bookman Old Style" w:hAnsi="Bookman Old Style"/>
          <w:sz w:val="26"/>
        </w:rPr>
        <w:t xml:space="preserve"> </w:t>
      </w:r>
      <w:r w:rsidR="00F14D65">
        <w:rPr>
          <w:rFonts w:ascii="Bookman Old Style" w:hAnsi="Bookman Old Style"/>
          <w:sz w:val="26"/>
        </w:rPr>
        <w:t>concluded</w:t>
      </w:r>
      <w:r w:rsidR="00F468B7" w:rsidRPr="00BF48AB">
        <w:rPr>
          <w:rFonts w:ascii="Bookman Old Style" w:hAnsi="Bookman Old Style"/>
          <w:sz w:val="26"/>
        </w:rPr>
        <w:t xml:space="preserve"> that </w:t>
      </w:r>
      <w:r w:rsidR="00BF48AB">
        <w:rPr>
          <w:rFonts w:ascii="Bookman Old Style" w:hAnsi="Bookman Old Style"/>
          <w:sz w:val="26"/>
        </w:rPr>
        <w:t xml:space="preserve">a spouse and minor children are </w:t>
      </w:r>
      <w:r w:rsidR="00510722">
        <w:rPr>
          <w:rFonts w:ascii="Bookman Old Style" w:hAnsi="Bookman Old Style"/>
          <w:sz w:val="26"/>
        </w:rPr>
        <w:t xml:space="preserve">conclusively presumed to be dependent on the decedent, but an adult child is treated as an “other dependent” and must “demonstrate actual dependency </w:t>
      </w:r>
      <w:r w:rsidR="00D96CC2" w:rsidRPr="00BF48AB">
        <w:rPr>
          <w:rFonts w:ascii="Bookman Old Style" w:hAnsi="Bookman Old Style"/>
          <w:sz w:val="26"/>
        </w:rPr>
        <w:t>on the</w:t>
      </w:r>
      <w:r w:rsidR="00510722">
        <w:rPr>
          <w:rFonts w:ascii="Bookman Old Style" w:hAnsi="Bookman Old Style"/>
          <w:sz w:val="26"/>
        </w:rPr>
        <w:t xml:space="preserve"> decedent.” </w:t>
      </w:r>
      <w:r w:rsidR="00566C0B" w:rsidRPr="00BF48AB">
        <w:rPr>
          <w:rFonts w:ascii="Bookman Old Style" w:hAnsi="Bookman Old Style"/>
          <w:i/>
          <w:sz w:val="26"/>
        </w:rPr>
        <w:t>Millo v. Delius</w:t>
      </w:r>
      <w:r w:rsidR="00527BB6">
        <w:rPr>
          <w:rFonts w:ascii="Bookman Old Style" w:hAnsi="Bookman Old Style"/>
          <w:sz w:val="26"/>
        </w:rPr>
        <w:t xml:space="preserve">, </w:t>
      </w:r>
      <w:r w:rsidR="00510722">
        <w:rPr>
          <w:rFonts w:ascii="Bookman Old Style" w:hAnsi="Bookman Old Style"/>
          <w:sz w:val="26"/>
        </w:rPr>
        <w:t>872 F.Supp.2d 867,</w:t>
      </w:r>
      <w:r w:rsidR="00527BB6">
        <w:rPr>
          <w:rFonts w:ascii="Bookman Old Style" w:hAnsi="Bookman Old Style"/>
          <w:sz w:val="26"/>
        </w:rPr>
        <w:t xml:space="preserve"> </w:t>
      </w:r>
      <w:r w:rsidR="00510722">
        <w:rPr>
          <w:rFonts w:ascii="Bookman Old Style" w:hAnsi="Bookman Old Style"/>
          <w:sz w:val="26"/>
        </w:rPr>
        <w:t xml:space="preserve">876 </w:t>
      </w:r>
      <w:r w:rsidR="00566C0B" w:rsidRPr="00BF48AB">
        <w:rPr>
          <w:rFonts w:ascii="Bookman Old Style" w:hAnsi="Bookman Old Style"/>
          <w:sz w:val="26"/>
        </w:rPr>
        <w:t>(D.</w:t>
      </w:r>
      <w:r w:rsidR="00503B0B">
        <w:rPr>
          <w:rFonts w:ascii="Bookman Old Style" w:hAnsi="Bookman Old Style"/>
          <w:sz w:val="26"/>
        </w:rPr>
        <w:t xml:space="preserve"> </w:t>
      </w:r>
      <w:r w:rsidR="00510722">
        <w:rPr>
          <w:rFonts w:ascii="Bookman Old Style" w:hAnsi="Bookman Old Style"/>
          <w:sz w:val="26"/>
        </w:rPr>
        <w:t>Alaska</w:t>
      </w:r>
      <w:r w:rsidR="00566C0B" w:rsidRPr="00BF48AB">
        <w:rPr>
          <w:rFonts w:ascii="Bookman Old Style" w:hAnsi="Bookman Old Style"/>
          <w:sz w:val="26"/>
        </w:rPr>
        <w:t xml:space="preserve"> 2012). </w:t>
      </w:r>
      <w:r w:rsidR="00246B19" w:rsidRPr="00BF48AB">
        <w:rPr>
          <w:rFonts w:ascii="Bookman Old Style" w:hAnsi="Bookman Old Style"/>
          <w:sz w:val="26"/>
        </w:rPr>
        <w:t xml:space="preserve"> </w:t>
      </w:r>
      <w:r w:rsidR="00D85C71" w:rsidRPr="00BF48AB">
        <w:rPr>
          <w:rFonts w:ascii="Bookman Old Style" w:hAnsi="Bookman Old Style"/>
          <w:i/>
          <w:sz w:val="26"/>
        </w:rPr>
        <w:t>But</w:t>
      </w:r>
      <w:r w:rsidR="00D85C71">
        <w:rPr>
          <w:rFonts w:ascii="Bookman Old Style" w:hAnsi="Bookman Old Style"/>
          <w:i/>
          <w:sz w:val="26"/>
        </w:rPr>
        <w:t xml:space="preserve"> see </w:t>
      </w:r>
      <w:r w:rsidR="00B80241" w:rsidRPr="007B513B">
        <w:rPr>
          <w:rFonts w:ascii="Bookman Old Style" w:hAnsi="Bookman Old Style"/>
          <w:i/>
          <w:sz w:val="26"/>
        </w:rPr>
        <w:t>Order on Motion to Determine Law of the Case,</w:t>
      </w:r>
      <w:r w:rsidR="00B80241">
        <w:rPr>
          <w:rFonts w:ascii="Bookman Old Style" w:hAnsi="Bookman Old Style"/>
          <w:sz w:val="26"/>
        </w:rPr>
        <w:t xml:space="preserve"> </w:t>
      </w:r>
      <w:r w:rsidR="00B80241" w:rsidRPr="00900628">
        <w:rPr>
          <w:rFonts w:ascii="Bookman Old Style" w:hAnsi="Bookman Old Style"/>
          <w:i/>
          <w:sz w:val="26"/>
        </w:rPr>
        <w:t>Gilila v. Cooke Roosa</w:t>
      </w:r>
      <w:r w:rsidR="00B80241">
        <w:rPr>
          <w:rFonts w:ascii="Bookman Old Style" w:hAnsi="Bookman Old Style"/>
          <w:sz w:val="26"/>
        </w:rPr>
        <w:t>, Case No. 3AN-11</w:t>
      </w:r>
      <w:r w:rsidR="00527BB6">
        <w:rPr>
          <w:rFonts w:ascii="Bookman Old Style" w:hAnsi="Bookman Old Style"/>
          <w:sz w:val="26"/>
        </w:rPr>
        <w:t>-12583CI (May 31, 2012) (</w:t>
      </w:r>
      <w:r w:rsidR="00B80241">
        <w:rPr>
          <w:rFonts w:ascii="Bookman Old Style" w:hAnsi="Bookman Old Style"/>
          <w:sz w:val="26"/>
        </w:rPr>
        <w:t xml:space="preserve">non-dependent </w:t>
      </w:r>
      <w:r w:rsidR="00527BB6">
        <w:rPr>
          <w:rFonts w:ascii="Bookman Old Style" w:hAnsi="Bookman Old Style"/>
          <w:sz w:val="26"/>
        </w:rPr>
        <w:t xml:space="preserve">adult </w:t>
      </w:r>
      <w:r w:rsidR="00B80241">
        <w:rPr>
          <w:rFonts w:ascii="Bookman Old Style" w:hAnsi="Bookman Old Style"/>
          <w:sz w:val="26"/>
        </w:rPr>
        <w:t xml:space="preserve">children are statutory beneficiaries). </w:t>
      </w:r>
    </w:p>
    <w:sectPr w:rsidR="00AE2392" w:rsidRPr="00900628" w:rsidSect="001C0A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311" w:rsidRDefault="00463311">
      <w:r>
        <w:separator/>
      </w:r>
    </w:p>
  </w:endnote>
  <w:endnote w:type="continuationSeparator" w:id="0">
    <w:p w:rsidR="00463311" w:rsidRDefault="00463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831" w:rsidRDefault="002568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112" w:rsidRPr="00256831" w:rsidRDefault="00256831" w:rsidP="00256831">
    <w:pPr>
      <w:pStyle w:val="Footer"/>
      <w:tabs>
        <w:tab w:val="clear" w:pos="8640"/>
        <w:tab w:val="right" w:pos="9360"/>
      </w:tabs>
      <w:rPr>
        <w:sz w:val="22"/>
        <w:szCs w:val="22"/>
      </w:rPr>
    </w:pPr>
    <w:r w:rsidRPr="00256831">
      <w:rPr>
        <w:rFonts w:ascii="Bookman Old Style" w:hAnsi="Bookman Old Style"/>
        <w:sz w:val="22"/>
        <w:szCs w:val="22"/>
      </w:rPr>
      <w:t>Revised</w:t>
    </w:r>
    <w:r w:rsidR="00B3781B" w:rsidRPr="00256831">
      <w:rPr>
        <w:rFonts w:ascii="Bookman Old Style" w:hAnsi="Bookman Old Style"/>
        <w:sz w:val="22"/>
        <w:szCs w:val="22"/>
      </w:rPr>
      <w:t xml:space="preserve"> 2013</w:t>
    </w:r>
    <w:r w:rsidR="00B57112" w:rsidRPr="00256831">
      <w:rPr>
        <w:rFonts w:ascii="Bookman Old Style" w:hAnsi="Bookman Old Style"/>
        <w:sz w:val="22"/>
        <w:szCs w:val="22"/>
      </w:rPr>
      <w:t xml:space="preserve"> </w:t>
    </w:r>
    <w:r w:rsidR="00B57112" w:rsidRPr="00256831">
      <w:rPr>
        <w:rFonts w:ascii="Bookman Old Style" w:hAnsi="Bookman Old Style"/>
        <w:sz w:val="22"/>
        <w:szCs w:val="22"/>
      </w:rPr>
      <w:tab/>
    </w:r>
    <w:r w:rsidR="00B57112" w:rsidRPr="00256831">
      <w:rPr>
        <w:rFonts w:ascii="Bookman Old Style" w:hAnsi="Bookman Old Style"/>
        <w:sz w:val="22"/>
        <w:szCs w:val="22"/>
      </w:rPr>
      <w:tab/>
      <w:t xml:space="preserve">04.05A - </w:t>
    </w:r>
    <w:r w:rsidR="00B57112" w:rsidRPr="00256831">
      <w:rPr>
        <w:rFonts w:ascii="Bookman Old Style" w:hAnsi="Bookman Old Style"/>
        <w:sz w:val="22"/>
        <w:szCs w:val="22"/>
      </w:rPr>
      <w:fldChar w:fldCharType="begin"/>
    </w:r>
    <w:r w:rsidR="00B57112" w:rsidRPr="00256831">
      <w:rPr>
        <w:rFonts w:ascii="Bookman Old Style" w:hAnsi="Bookman Old Style"/>
        <w:sz w:val="22"/>
        <w:szCs w:val="22"/>
      </w:rPr>
      <w:instrText xml:space="preserve"> PAGE   \* MERGEFORMAT </w:instrText>
    </w:r>
    <w:r w:rsidR="00B57112" w:rsidRPr="00256831">
      <w:rPr>
        <w:rFonts w:ascii="Bookman Old Style" w:hAnsi="Bookman Old Style"/>
        <w:sz w:val="22"/>
        <w:szCs w:val="22"/>
      </w:rPr>
      <w:fldChar w:fldCharType="separate"/>
    </w:r>
    <w:r w:rsidR="007E0076">
      <w:rPr>
        <w:rFonts w:ascii="Bookman Old Style" w:hAnsi="Bookman Old Style"/>
        <w:noProof/>
        <w:sz w:val="22"/>
        <w:szCs w:val="22"/>
      </w:rPr>
      <w:t>1</w:t>
    </w:r>
    <w:r w:rsidR="00B57112" w:rsidRPr="00256831">
      <w:rPr>
        <w:rFonts w:ascii="Bookman Old Style" w:hAnsi="Bookman Old Style"/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831" w:rsidRDefault="002568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311" w:rsidRDefault="00463311">
      <w:r>
        <w:separator/>
      </w:r>
    </w:p>
  </w:footnote>
  <w:footnote w:type="continuationSeparator" w:id="0">
    <w:p w:rsidR="00463311" w:rsidRDefault="00463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831" w:rsidRDefault="0025683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831" w:rsidRDefault="0025683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831" w:rsidRDefault="002568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5B87A5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3C"/>
    <w:rsid w:val="000139DF"/>
    <w:rsid w:val="00013BB8"/>
    <w:rsid w:val="00021605"/>
    <w:rsid w:val="00032C0D"/>
    <w:rsid w:val="0006666F"/>
    <w:rsid w:val="00092F91"/>
    <w:rsid w:val="000F48F9"/>
    <w:rsid w:val="00104A49"/>
    <w:rsid w:val="001623C2"/>
    <w:rsid w:val="0018609B"/>
    <w:rsid w:val="00192C4F"/>
    <w:rsid w:val="001954C2"/>
    <w:rsid w:val="001C0AEF"/>
    <w:rsid w:val="001D3AAA"/>
    <w:rsid w:val="002011CC"/>
    <w:rsid w:val="00224816"/>
    <w:rsid w:val="002316E7"/>
    <w:rsid w:val="00246B19"/>
    <w:rsid w:val="00256831"/>
    <w:rsid w:val="00280B43"/>
    <w:rsid w:val="002A2AC6"/>
    <w:rsid w:val="002B3D27"/>
    <w:rsid w:val="00343410"/>
    <w:rsid w:val="00375041"/>
    <w:rsid w:val="003D67EF"/>
    <w:rsid w:val="003E1BC4"/>
    <w:rsid w:val="003E7354"/>
    <w:rsid w:val="00463311"/>
    <w:rsid w:val="00464B08"/>
    <w:rsid w:val="004B701E"/>
    <w:rsid w:val="004C6E47"/>
    <w:rsid w:val="004D7035"/>
    <w:rsid w:val="004E1A70"/>
    <w:rsid w:val="004E69CD"/>
    <w:rsid w:val="00503B0B"/>
    <w:rsid w:val="005058BB"/>
    <w:rsid w:val="00510722"/>
    <w:rsid w:val="0051447F"/>
    <w:rsid w:val="00515A15"/>
    <w:rsid w:val="005165F3"/>
    <w:rsid w:val="00527BB6"/>
    <w:rsid w:val="0054096C"/>
    <w:rsid w:val="00561009"/>
    <w:rsid w:val="00566C0B"/>
    <w:rsid w:val="00572AD5"/>
    <w:rsid w:val="005A3CDC"/>
    <w:rsid w:val="005F42F7"/>
    <w:rsid w:val="00607E7D"/>
    <w:rsid w:val="00690148"/>
    <w:rsid w:val="006F18A7"/>
    <w:rsid w:val="006F21BF"/>
    <w:rsid w:val="006F7296"/>
    <w:rsid w:val="006F7A10"/>
    <w:rsid w:val="0070639A"/>
    <w:rsid w:val="007378D2"/>
    <w:rsid w:val="007B513B"/>
    <w:rsid w:val="007E0076"/>
    <w:rsid w:val="00822F3C"/>
    <w:rsid w:val="0083049B"/>
    <w:rsid w:val="00860FF2"/>
    <w:rsid w:val="00896BBE"/>
    <w:rsid w:val="008A3498"/>
    <w:rsid w:val="008A40C3"/>
    <w:rsid w:val="00900628"/>
    <w:rsid w:val="00956BF6"/>
    <w:rsid w:val="00987D22"/>
    <w:rsid w:val="009C0E68"/>
    <w:rsid w:val="009D0557"/>
    <w:rsid w:val="00A07727"/>
    <w:rsid w:val="00A26F07"/>
    <w:rsid w:val="00A47E18"/>
    <w:rsid w:val="00A606DB"/>
    <w:rsid w:val="00AA20E6"/>
    <w:rsid w:val="00AE2392"/>
    <w:rsid w:val="00B2146D"/>
    <w:rsid w:val="00B3781B"/>
    <w:rsid w:val="00B4161B"/>
    <w:rsid w:val="00B41FE4"/>
    <w:rsid w:val="00B463B0"/>
    <w:rsid w:val="00B55174"/>
    <w:rsid w:val="00B57112"/>
    <w:rsid w:val="00B672DE"/>
    <w:rsid w:val="00B749F1"/>
    <w:rsid w:val="00B77D6C"/>
    <w:rsid w:val="00B80241"/>
    <w:rsid w:val="00B80AF4"/>
    <w:rsid w:val="00B93305"/>
    <w:rsid w:val="00BA3DB7"/>
    <w:rsid w:val="00BA4E5E"/>
    <w:rsid w:val="00BA7DF2"/>
    <w:rsid w:val="00BB2B93"/>
    <w:rsid w:val="00BC28DE"/>
    <w:rsid w:val="00BF48AB"/>
    <w:rsid w:val="00C1473C"/>
    <w:rsid w:val="00C166FB"/>
    <w:rsid w:val="00C21845"/>
    <w:rsid w:val="00C31F28"/>
    <w:rsid w:val="00C3554A"/>
    <w:rsid w:val="00C835C2"/>
    <w:rsid w:val="00CA61BA"/>
    <w:rsid w:val="00CA7518"/>
    <w:rsid w:val="00CC6C1A"/>
    <w:rsid w:val="00CD4AC8"/>
    <w:rsid w:val="00D6247A"/>
    <w:rsid w:val="00D85C71"/>
    <w:rsid w:val="00D907DD"/>
    <w:rsid w:val="00D96CC2"/>
    <w:rsid w:val="00E72220"/>
    <w:rsid w:val="00EC071B"/>
    <w:rsid w:val="00F02036"/>
    <w:rsid w:val="00F05796"/>
    <w:rsid w:val="00F14D65"/>
    <w:rsid w:val="00F317BB"/>
    <w:rsid w:val="00F468B7"/>
    <w:rsid w:val="00F643DF"/>
    <w:rsid w:val="00F85CF9"/>
    <w:rsid w:val="00FA1A5F"/>
    <w:rsid w:val="00FA69C6"/>
    <w:rsid w:val="00FD7AB3"/>
    <w:rsid w:val="00FF1088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left="1440" w:hanging="1440"/>
      <w:jc w:val="both"/>
    </w:pPr>
    <w:rPr>
      <w:rFonts w:ascii="Bookman Old Style" w:hAnsi="Bookman Old Style"/>
      <w:b/>
      <w:sz w:val="26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rFonts w:ascii="Bookman Old Style" w:hAnsi="Bookman Old Style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D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3DB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1C0AEF"/>
  </w:style>
  <w:style w:type="paragraph" w:styleId="EndnoteText">
    <w:name w:val="endnote text"/>
    <w:basedOn w:val="Normal"/>
    <w:link w:val="EndnoteTextChar"/>
    <w:uiPriority w:val="99"/>
    <w:semiHidden/>
    <w:unhideWhenUsed/>
    <w:rsid w:val="003E7354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7354"/>
  </w:style>
  <w:style w:type="character" w:styleId="EndnoteReference">
    <w:name w:val="endnote reference"/>
    <w:uiPriority w:val="99"/>
    <w:semiHidden/>
    <w:unhideWhenUsed/>
    <w:rsid w:val="003E735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left="1440" w:hanging="1440"/>
      <w:jc w:val="both"/>
    </w:pPr>
    <w:rPr>
      <w:rFonts w:ascii="Bookman Old Style" w:hAnsi="Bookman Old Style"/>
      <w:b/>
      <w:sz w:val="26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rFonts w:ascii="Bookman Old Style" w:hAnsi="Bookman Old Style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D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3DB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1C0AEF"/>
  </w:style>
  <w:style w:type="paragraph" w:styleId="EndnoteText">
    <w:name w:val="endnote text"/>
    <w:basedOn w:val="Normal"/>
    <w:link w:val="EndnoteTextChar"/>
    <w:uiPriority w:val="99"/>
    <w:semiHidden/>
    <w:unhideWhenUsed/>
    <w:rsid w:val="003E7354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7354"/>
  </w:style>
  <w:style w:type="character" w:styleId="EndnoteReference">
    <w:name w:val="endnote reference"/>
    <w:uiPriority w:val="99"/>
    <w:semiHidden/>
    <w:unhideWhenUsed/>
    <w:rsid w:val="003E73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9BE7E-7AE1-432A-8FF0-E42ABA9C3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4899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04</vt:lpstr>
      </vt:variant>
      <vt:variant>
        <vt:i4>0</vt:i4>
      </vt:variant>
    </vt:vector>
  </HeadingPairs>
  <TitlesOfParts>
    <vt:vector size="1" baseType="lpstr">
      <vt:lpstr>04</vt:lpstr>
    </vt:vector>
  </TitlesOfParts>
  <Company>Alaska Court System</Company>
  <LinksUpToDate>false</LinksUpToDate>
  <CharactersWithSpaces>5747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</dc:title>
  <dc:creator>korzechowski</dc:creator>
  <cp:lastModifiedBy>Windows User</cp:lastModifiedBy>
  <cp:revision>2</cp:revision>
  <cp:lastPrinted>2013-10-08T17:49:00Z</cp:lastPrinted>
  <dcterms:created xsi:type="dcterms:W3CDTF">2013-10-08T21:30:00Z</dcterms:created>
  <dcterms:modified xsi:type="dcterms:W3CDTF">2013-10-08T21:30:00Z</dcterms:modified>
</cp:coreProperties>
</file>