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A" w:rsidRDefault="004C580A">
      <w:pPr>
        <w:pStyle w:val="BodyText2"/>
      </w:pPr>
      <w:bookmarkStart w:id="0" w:name="_GoBack"/>
      <w:bookmarkEnd w:id="0"/>
      <w:r>
        <w:t>04.05B</w:t>
      </w:r>
      <w:r>
        <w:tab/>
        <w:t>WRONGFUL DEATH</w:t>
      </w:r>
      <w:r w:rsidR="00815EA3">
        <w:t xml:space="preserve"> DAMAGES </w:t>
      </w:r>
      <w:r>
        <w:t>— RECOVERY BY STATUTORY BENEFICIARIES</w:t>
      </w:r>
    </w:p>
    <w:p w:rsidR="004C580A" w:rsidRDefault="004C580A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4C580A" w:rsidRDefault="004C580A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4C580A" w:rsidRDefault="004C580A">
      <w:pPr>
        <w:pStyle w:val="BodyText"/>
      </w:pPr>
      <w:r>
        <w:t xml:space="preserve">If you decide that </w:t>
      </w:r>
      <w:r w:rsidR="00DA25C1">
        <w:t>[statutory beneficiar</w:t>
      </w:r>
      <w:r w:rsidR="00383780">
        <w:t>(</w:t>
      </w:r>
      <w:r w:rsidR="00DA25C1">
        <w:t>y</w:t>
      </w:r>
      <w:proofErr w:type="gramStart"/>
      <w:r w:rsidR="00383780">
        <w:t>)(</w:t>
      </w:r>
      <w:proofErr w:type="gramEnd"/>
      <w:r w:rsidR="00383780">
        <w:t>ies)</w:t>
      </w:r>
      <w:r w:rsidR="00DA25C1">
        <w:t xml:space="preserve">] </w:t>
      </w:r>
      <w:r w:rsidR="00383780">
        <w:t>[</w:t>
      </w:r>
      <w:r w:rsidR="00DA25C1">
        <w:t>is</w:t>
      </w:r>
      <w:r w:rsidR="00383780">
        <w:t>][are]</w:t>
      </w:r>
      <w:r w:rsidR="00DA25C1">
        <w:t xml:space="preserve"> entitled to recover for harm caused by the death of [decedent]</w:t>
      </w:r>
      <w:r>
        <w:t xml:space="preserve">, you must decide what amount of money will fairly and justly compensate </w:t>
      </w:r>
      <w:r w:rsidR="003A0C62">
        <w:t>[statutory beneficiar</w:t>
      </w:r>
      <w:r w:rsidR="00383780">
        <w:t>(</w:t>
      </w:r>
      <w:r w:rsidR="003A0C62">
        <w:t>y</w:t>
      </w:r>
      <w:r w:rsidR="00383780">
        <w:t>)(ies)</w:t>
      </w:r>
      <w:r w:rsidR="00F22046">
        <w:t>]</w:t>
      </w:r>
      <w:r>
        <w:t xml:space="preserve">.  [You must </w:t>
      </w:r>
      <w:r w:rsidR="006D7B33">
        <w:t>decide a separate</w:t>
      </w:r>
      <w:r>
        <w:t xml:space="preserve"> amount for each </w:t>
      </w:r>
      <w:r w:rsidR="006D7B33">
        <w:t>person who is entitled to recover</w:t>
      </w:r>
      <w:r>
        <w:t>.]</w:t>
      </w:r>
    </w:p>
    <w:p w:rsidR="004C580A" w:rsidRDefault="004C580A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3A0C62" w:rsidRDefault="003A0C62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claimed losses fall into two categories</w:t>
      </w:r>
      <w:r w:rsidR="002E0469">
        <w:rPr>
          <w:rFonts w:ascii="Bookman Old Style" w:hAnsi="Bookman Old Style"/>
          <w:sz w:val="26"/>
        </w:rPr>
        <w:t>: economic losses and noneconomic losses.</w:t>
      </w:r>
    </w:p>
    <w:p w:rsidR="002E0469" w:rsidRDefault="002E0469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2E0469" w:rsidRDefault="002E0469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Economic losses may include:</w:t>
      </w:r>
    </w:p>
    <w:p w:rsidR="002E0469" w:rsidRDefault="002E0469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4C580A" w:rsidRDefault="0016714F" w:rsidP="00383780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[1]</w:t>
      </w:r>
      <w:r>
        <w:rPr>
          <w:rFonts w:ascii="Bookman Old Style" w:hAnsi="Bookman Old Style"/>
          <w:sz w:val="26"/>
        </w:rPr>
        <w:tab/>
      </w:r>
      <w:proofErr w:type="gramStart"/>
      <w:r w:rsidR="002E0469">
        <w:rPr>
          <w:rFonts w:ascii="Bookman Old Style" w:hAnsi="Bookman Old Style"/>
          <w:sz w:val="26"/>
        </w:rPr>
        <w:t>loss</w:t>
      </w:r>
      <w:proofErr w:type="gramEnd"/>
      <w:r w:rsidR="002E0469">
        <w:rPr>
          <w:rFonts w:ascii="Bookman Old Style" w:hAnsi="Bookman Old Style"/>
          <w:sz w:val="26"/>
        </w:rPr>
        <w:t xml:space="preserve"> of financial support;</w:t>
      </w:r>
    </w:p>
    <w:p w:rsidR="002E0469" w:rsidRDefault="0016714F" w:rsidP="00383780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[2]</w:t>
      </w:r>
      <w:r>
        <w:rPr>
          <w:rFonts w:ascii="Bookman Old Style" w:hAnsi="Bookman Old Style"/>
          <w:sz w:val="26"/>
        </w:rPr>
        <w:tab/>
      </w:r>
      <w:proofErr w:type="gramStart"/>
      <w:r w:rsidR="002E0469">
        <w:rPr>
          <w:rFonts w:ascii="Bookman Old Style" w:hAnsi="Bookman Old Style"/>
          <w:sz w:val="26"/>
        </w:rPr>
        <w:t>loss</w:t>
      </w:r>
      <w:proofErr w:type="gramEnd"/>
      <w:r w:rsidR="002E0469">
        <w:rPr>
          <w:rFonts w:ascii="Bookman Old Style" w:hAnsi="Bookman Old Style"/>
          <w:sz w:val="26"/>
        </w:rPr>
        <w:t xml:space="preserve"> of assistance or services</w:t>
      </w:r>
      <w:r w:rsidR="006D7B33">
        <w:rPr>
          <w:rFonts w:ascii="Bookman Old Style" w:hAnsi="Bookman Old Style"/>
          <w:sz w:val="26"/>
        </w:rPr>
        <w:t>;</w:t>
      </w:r>
    </w:p>
    <w:p w:rsidR="00F048B0" w:rsidRDefault="0016714F" w:rsidP="00383780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[3]</w:t>
      </w:r>
      <w:r>
        <w:rPr>
          <w:rFonts w:ascii="Bookman Old Style" w:hAnsi="Bookman Old Style"/>
          <w:sz w:val="26"/>
        </w:rPr>
        <w:tab/>
      </w:r>
      <w:proofErr w:type="gramStart"/>
      <w:r w:rsidR="00F048B0">
        <w:rPr>
          <w:rFonts w:ascii="Bookman Old Style" w:hAnsi="Bookman Old Style"/>
          <w:sz w:val="26"/>
        </w:rPr>
        <w:t>medical</w:t>
      </w:r>
      <w:proofErr w:type="gramEnd"/>
      <w:r w:rsidR="00F048B0">
        <w:rPr>
          <w:rFonts w:ascii="Bookman Old Style" w:hAnsi="Bookman Old Style"/>
          <w:sz w:val="26"/>
        </w:rPr>
        <w:t xml:space="preserve"> and funeral expenses; and</w:t>
      </w:r>
    </w:p>
    <w:p w:rsidR="00F048B0" w:rsidRDefault="0016714F" w:rsidP="00383780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[4]</w:t>
      </w:r>
      <w:r>
        <w:rPr>
          <w:rFonts w:ascii="Bookman Old Style" w:hAnsi="Bookman Old Style"/>
          <w:sz w:val="26"/>
        </w:rPr>
        <w:tab/>
      </w:r>
      <w:proofErr w:type="gramStart"/>
      <w:r w:rsidR="00F048B0">
        <w:rPr>
          <w:rFonts w:ascii="Bookman Old Style" w:hAnsi="Bookman Old Style"/>
          <w:sz w:val="26"/>
        </w:rPr>
        <w:t>loss</w:t>
      </w:r>
      <w:proofErr w:type="gramEnd"/>
      <w:r w:rsidR="00F048B0">
        <w:rPr>
          <w:rFonts w:ascii="Bookman Old Style" w:hAnsi="Bookman Old Style"/>
          <w:sz w:val="26"/>
        </w:rPr>
        <w:t xml:space="preserve"> of future </w:t>
      </w:r>
      <w:r w:rsidR="00E814D3">
        <w:rPr>
          <w:rFonts w:ascii="Bookman Old Style" w:hAnsi="Bookman Old Style"/>
          <w:sz w:val="26"/>
        </w:rPr>
        <w:t>savings</w:t>
      </w:r>
      <w:r w:rsidR="00F048B0">
        <w:rPr>
          <w:rFonts w:ascii="Bookman Old Style" w:hAnsi="Bookman Old Style"/>
          <w:sz w:val="26"/>
        </w:rPr>
        <w:t>.</w:t>
      </w:r>
    </w:p>
    <w:p w:rsidR="00F048B0" w:rsidRDefault="00F048B0" w:rsidP="00A13D7A">
      <w:pPr>
        <w:spacing w:line="360" w:lineRule="auto"/>
        <w:ind w:left="1080"/>
        <w:jc w:val="both"/>
        <w:rPr>
          <w:rFonts w:ascii="Bookman Old Style" w:hAnsi="Bookman Old Style"/>
          <w:sz w:val="26"/>
        </w:rPr>
      </w:pPr>
    </w:p>
    <w:p w:rsidR="00F048B0" w:rsidRDefault="00F048B0" w:rsidP="00A13D7A">
      <w:pPr>
        <w:spacing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Noneconomic losses may include:</w:t>
      </w:r>
    </w:p>
    <w:p w:rsidR="006D7B33" w:rsidRDefault="006D7B33" w:rsidP="00A13D7A">
      <w:pPr>
        <w:spacing w:line="360" w:lineRule="auto"/>
        <w:rPr>
          <w:rFonts w:ascii="Bookman Old Style" w:hAnsi="Bookman Old Style"/>
          <w:sz w:val="26"/>
        </w:rPr>
      </w:pPr>
    </w:p>
    <w:p w:rsidR="00F048B0" w:rsidRDefault="0016714F" w:rsidP="00383780">
      <w:pPr>
        <w:spacing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[1]</w:t>
      </w:r>
      <w:r>
        <w:rPr>
          <w:rFonts w:ascii="Bookman Old Style" w:hAnsi="Bookman Old Style"/>
          <w:sz w:val="26"/>
        </w:rPr>
        <w:tab/>
      </w:r>
      <w:proofErr w:type="gramStart"/>
      <w:r w:rsidR="00D26958">
        <w:rPr>
          <w:rFonts w:ascii="Bookman Old Style" w:hAnsi="Bookman Old Style"/>
          <w:sz w:val="26"/>
        </w:rPr>
        <w:t>l</w:t>
      </w:r>
      <w:r w:rsidR="00F048B0">
        <w:rPr>
          <w:rFonts w:ascii="Bookman Old Style" w:hAnsi="Bookman Old Style"/>
          <w:sz w:val="26"/>
        </w:rPr>
        <w:t>o</w:t>
      </w:r>
      <w:r w:rsidR="00D26958">
        <w:rPr>
          <w:rFonts w:ascii="Bookman Old Style" w:hAnsi="Bookman Old Style"/>
          <w:sz w:val="26"/>
        </w:rPr>
        <w:t>ss</w:t>
      </w:r>
      <w:proofErr w:type="gramEnd"/>
      <w:r w:rsidR="00D26958">
        <w:rPr>
          <w:rFonts w:ascii="Bookman Old Style" w:hAnsi="Bookman Old Style"/>
          <w:sz w:val="26"/>
        </w:rPr>
        <w:t xml:space="preserve"> of the relationship with </w:t>
      </w:r>
      <w:r w:rsidR="00F048B0">
        <w:rPr>
          <w:rFonts w:ascii="Bookman Old Style" w:hAnsi="Bookman Old Style"/>
          <w:sz w:val="26"/>
        </w:rPr>
        <w:t>[</w:t>
      </w:r>
      <w:r w:rsidR="00D26958">
        <w:rPr>
          <w:rFonts w:ascii="Bookman Old Style" w:hAnsi="Bookman Old Style"/>
          <w:sz w:val="26"/>
        </w:rPr>
        <w:t>decedent];</w:t>
      </w:r>
    </w:p>
    <w:p w:rsidR="00D26958" w:rsidRDefault="0016714F" w:rsidP="00383780">
      <w:pPr>
        <w:spacing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[2]</w:t>
      </w:r>
      <w:r>
        <w:rPr>
          <w:rFonts w:ascii="Bookman Old Style" w:hAnsi="Bookman Old Style"/>
          <w:sz w:val="26"/>
        </w:rPr>
        <w:tab/>
      </w:r>
      <w:proofErr w:type="gramStart"/>
      <w:r w:rsidR="00D26958">
        <w:rPr>
          <w:rFonts w:ascii="Bookman Old Style" w:hAnsi="Bookman Old Style"/>
          <w:sz w:val="26"/>
        </w:rPr>
        <w:t>sorrow</w:t>
      </w:r>
      <w:proofErr w:type="gramEnd"/>
      <w:r w:rsidR="00D26958">
        <w:rPr>
          <w:rFonts w:ascii="Bookman Old Style" w:hAnsi="Bookman Old Style"/>
          <w:sz w:val="26"/>
        </w:rPr>
        <w:t>, grief, and emotional distress; and</w:t>
      </w:r>
    </w:p>
    <w:p w:rsidR="00D26958" w:rsidRDefault="0016714F" w:rsidP="0016714F">
      <w:pPr>
        <w:spacing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[3]</w:t>
      </w:r>
      <w:r>
        <w:rPr>
          <w:rFonts w:ascii="Bookman Old Style" w:hAnsi="Bookman Old Style"/>
          <w:sz w:val="26"/>
        </w:rPr>
        <w:tab/>
      </w:r>
      <w:proofErr w:type="gramStart"/>
      <w:r w:rsidR="00D26958">
        <w:rPr>
          <w:rFonts w:ascii="Bookman Old Style" w:hAnsi="Bookman Old Style"/>
          <w:sz w:val="26"/>
        </w:rPr>
        <w:t>loss</w:t>
      </w:r>
      <w:proofErr w:type="gramEnd"/>
      <w:r w:rsidR="00D26958">
        <w:rPr>
          <w:rFonts w:ascii="Bookman Old Style" w:hAnsi="Bookman Old Style"/>
          <w:sz w:val="26"/>
        </w:rPr>
        <w:t xml:space="preserve"> of education and training that [decedent] would have provided.</w:t>
      </w:r>
    </w:p>
    <w:p w:rsidR="00D26958" w:rsidRDefault="00D26958" w:rsidP="00A13D7A">
      <w:pPr>
        <w:spacing w:line="360" w:lineRule="auto"/>
        <w:ind w:left="720"/>
        <w:rPr>
          <w:rFonts w:ascii="Bookman Old Style" w:hAnsi="Bookman Old Style"/>
          <w:sz w:val="26"/>
        </w:rPr>
      </w:pPr>
    </w:p>
    <w:p w:rsidR="0093305D" w:rsidRDefault="004C580A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You may not assume because I list an item of loss or explain how to measure a particular loss that you are required to award damages for that loss.  </w:t>
      </w:r>
    </w:p>
    <w:p w:rsidR="004C580A" w:rsidRDefault="004C580A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lastRenderedPageBreak/>
        <w:t>For each item of claimed loss, you must decide whether it is more likely true than not true:</w:t>
      </w:r>
    </w:p>
    <w:p w:rsidR="004C580A" w:rsidRDefault="004C580A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4C580A" w:rsidRDefault="004C580A">
      <w:pPr>
        <w:spacing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(1)</w:t>
      </w:r>
      <w:r>
        <w:rPr>
          <w:rFonts w:ascii="Bookman Old Style" w:hAnsi="Bookman Old Style"/>
          <w:sz w:val="26"/>
        </w:rPr>
        <w:tab/>
      </w:r>
      <w:r w:rsidR="00D26958">
        <w:rPr>
          <w:rFonts w:ascii="Bookman Old Style" w:hAnsi="Bookman Old Style"/>
          <w:sz w:val="26"/>
        </w:rPr>
        <w:t>[</w:t>
      </w:r>
      <w:proofErr w:type="gramStart"/>
      <w:r w:rsidR="00D26958">
        <w:rPr>
          <w:rFonts w:ascii="Bookman Old Style" w:hAnsi="Bookman Old Style"/>
          <w:sz w:val="26"/>
        </w:rPr>
        <w:t>statutory</w:t>
      </w:r>
      <w:proofErr w:type="gramEnd"/>
      <w:r>
        <w:rPr>
          <w:rFonts w:ascii="Bookman Old Style" w:hAnsi="Bookman Old Style"/>
          <w:sz w:val="26"/>
        </w:rPr>
        <w:t xml:space="preserve"> beneficiar</w:t>
      </w:r>
      <w:r w:rsidR="0096563E">
        <w:rPr>
          <w:rFonts w:ascii="Bookman Old Style" w:hAnsi="Bookman Old Style"/>
          <w:sz w:val="26"/>
        </w:rPr>
        <w:t>y</w:t>
      </w:r>
      <w:r w:rsidR="00D26958">
        <w:rPr>
          <w:rFonts w:ascii="Bookman Old Style" w:hAnsi="Bookman Old Style"/>
          <w:sz w:val="26"/>
        </w:rPr>
        <w:t>]</w:t>
      </w:r>
      <w:r>
        <w:rPr>
          <w:rFonts w:ascii="Bookman Old Style" w:hAnsi="Bookman Old Style"/>
          <w:sz w:val="26"/>
        </w:rPr>
        <w:t xml:space="preserve"> had such a loss or is reasonably </w:t>
      </w:r>
      <w:r w:rsidR="00C90EC0">
        <w:rPr>
          <w:rFonts w:ascii="Bookman Old Style" w:hAnsi="Bookman Old Style"/>
          <w:sz w:val="26"/>
        </w:rPr>
        <w:t xml:space="preserve">likely </w:t>
      </w:r>
      <w:r>
        <w:rPr>
          <w:rFonts w:ascii="Bookman Old Style" w:hAnsi="Bookman Old Style"/>
          <w:sz w:val="26"/>
        </w:rPr>
        <w:t>to have such a loss in the future; and</w:t>
      </w:r>
    </w:p>
    <w:p w:rsidR="004C580A" w:rsidRDefault="004C580A">
      <w:pPr>
        <w:spacing w:line="360" w:lineRule="auto"/>
        <w:ind w:left="720" w:hanging="720"/>
        <w:jc w:val="both"/>
        <w:rPr>
          <w:rFonts w:ascii="Bookman Old Style" w:hAnsi="Bookman Old Style"/>
          <w:sz w:val="26"/>
        </w:rPr>
      </w:pPr>
    </w:p>
    <w:p w:rsidR="004C580A" w:rsidRDefault="004C580A">
      <w:pPr>
        <w:pStyle w:val="BodyTextIndent2"/>
      </w:pPr>
      <w:r>
        <w:t>(2)</w:t>
      </w:r>
      <w:r>
        <w:tab/>
      </w:r>
      <w:r w:rsidR="0085671C">
        <w:t>[</w:t>
      </w:r>
      <w:proofErr w:type="gramStart"/>
      <w:r>
        <w:t>defendant</w:t>
      </w:r>
      <w:proofErr w:type="gramEnd"/>
      <w:r w:rsidR="0085671C">
        <w:t>]’s conduct was a substantial factor in causing the loss</w:t>
      </w:r>
      <w:r>
        <w:t>.</w:t>
      </w:r>
    </w:p>
    <w:p w:rsidR="0057193C" w:rsidRDefault="0057193C">
      <w:pPr>
        <w:pStyle w:val="BodyTextIndent2"/>
      </w:pPr>
    </w:p>
    <w:p w:rsidR="00A4730E" w:rsidRDefault="00886882" w:rsidP="00A4730E">
      <w:pPr>
        <w:pStyle w:val="OmniPage1"/>
        <w:tabs>
          <w:tab w:val="left" w:pos="720"/>
          <w:tab w:val="right" w:pos="9440"/>
        </w:tabs>
        <w:spacing w:line="360" w:lineRule="auto"/>
        <w:ind w:left="720" w:right="69" w:hanging="720"/>
        <w:jc w:val="both"/>
        <w:rPr>
          <w:rFonts w:ascii="Bookman Old Style" w:hAnsi="Bookman Old Style"/>
          <w:sz w:val="26"/>
          <w:szCs w:val="26"/>
        </w:rPr>
      </w:pPr>
      <w:r w:rsidRPr="00A13D7A">
        <w:rPr>
          <w:rFonts w:ascii="Bookman Old Style" w:hAnsi="Bookman Old Style"/>
          <w:sz w:val="26"/>
          <w:szCs w:val="26"/>
        </w:rPr>
        <w:t>[Defendant]’s conduct was a substantial factor if</w:t>
      </w:r>
      <w:r w:rsidR="00795164">
        <w:rPr>
          <w:rFonts w:ascii="Bookman Old Style" w:hAnsi="Bookman Old Style"/>
          <w:sz w:val="26"/>
          <w:szCs w:val="26"/>
        </w:rPr>
        <w:t>:</w:t>
      </w:r>
    </w:p>
    <w:p w:rsidR="00A4730E" w:rsidRDefault="00A4730E" w:rsidP="00A4730E">
      <w:pPr>
        <w:pStyle w:val="OmniPage1"/>
        <w:tabs>
          <w:tab w:val="left" w:pos="720"/>
          <w:tab w:val="right" w:pos="9440"/>
        </w:tabs>
        <w:spacing w:line="360" w:lineRule="auto"/>
        <w:ind w:left="720" w:right="69" w:hanging="720"/>
        <w:jc w:val="both"/>
        <w:rPr>
          <w:rFonts w:ascii="Bookman Old Style" w:hAnsi="Bookman Old Style"/>
          <w:sz w:val="26"/>
          <w:szCs w:val="26"/>
        </w:rPr>
      </w:pPr>
    </w:p>
    <w:p w:rsidR="00A4730E" w:rsidRPr="00A4730E" w:rsidRDefault="00A4730E" w:rsidP="00A4730E">
      <w:pPr>
        <w:pStyle w:val="OmniPage1"/>
        <w:tabs>
          <w:tab w:val="left" w:pos="720"/>
          <w:tab w:val="right" w:pos="9440"/>
        </w:tabs>
        <w:spacing w:line="360" w:lineRule="auto"/>
        <w:ind w:left="720" w:right="69" w:hanging="720"/>
        <w:jc w:val="both"/>
        <w:rPr>
          <w:rFonts w:ascii="Bookman Old Style" w:hAnsi="Bookman Old Style"/>
          <w:noProof w:val="0"/>
          <w:sz w:val="26"/>
          <w:szCs w:val="26"/>
        </w:rPr>
      </w:pPr>
      <w:r>
        <w:rPr>
          <w:rFonts w:ascii="Bookman Old Style" w:hAnsi="Bookman Old Style"/>
          <w:noProof w:val="0"/>
          <w:sz w:val="26"/>
          <w:szCs w:val="26"/>
        </w:rPr>
        <w:t>(a</w:t>
      </w:r>
      <w:r w:rsidR="00795164">
        <w:rPr>
          <w:rFonts w:ascii="Bookman Old Style" w:hAnsi="Bookman Old Style"/>
          <w:noProof w:val="0"/>
          <w:sz w:val="26"/>
          <w:szCs w:val="26"/>
        </w:rPr>
        <w:t>)</w:t>
      </w:r>
      <w:r w:rsidR="00795164">
        <w:rPr>
          <w:rFonts w:ascii="Bookman Old Style" w:hAnsi="Bookman Old Style"/>
          <w:noProof w:val="0"/>
          <w:sz w:val="26"/>
          <w:szCs w:val="26"/>
        </w:rPr>
        <w:tab/>
      </w:r>
      <w:proofErr w:type="gramStart"/>
      <w:r w:rsidR="00795164">
        <w:rPr>
          <w:rFonts w:ascii="Bookman Old Style" w:hAnsi="Bookman Old Style"/>
          <w:noProof w:val="0"/>
          <w:sz w:val="26"/>
          <w:szCs w:val="26"/>
        </w:rPr>
        <w:t>the</w:t>
      </w:r>
      <w:proofErr w:type="gramEnd"/>
      <w:r w:rsidR="00795164">
        <w:rPr>
          <w:rFonts w:ascii="Bookman Old Style" w:hAnsi="Bookman Old Style"/>
          <w:noProof w:val="0"/>
          <w:sz w:val="26"/>
          <w:szCs w:val="26"/>
        </w:rPr>
        <w:t xml:space="preserve"> loss</w:t>
      </w:r>
      <w:r w:rsidRPr="00A4730E">
        <w:rPr>
          <w:rFonts w:ascii="Bookman Old Style" w:hAnsi="Bookman Old Style"/>
          <w:noProof w:val="0"/>
          <w:sz w:val="26"/>
          <w:szCs w:val="26"/>
        </w:rPr>
        <w:t xml:space="preserve"> would not have</w:t>
      </w:r>
      <w:r w:rsidR="00795164">
        <w:rPr>
          <w:rFonts w:ascii="Bookman Old Style" w:hAnsi="Bookman Old Style"/>
          <w:noProof w:val="0"/>
          <w:sz w:val="26"/>
          <w:szCs w:val="26"/>
        </w:rPr>
        <w:t xml:space="preserve"> occurred without </w:t>
      </w:r>
      <w:r w:rsidR="0057193C">
        <w:rPr>
          <w:rFonts w:ascii="Bookman Old Style" w:hAnsi="Bookman Old Style"/>
          <w:noProof w:val="0"/>
          <w:sz w:val="26"/>
          <w:szCs w:val="26"/>
        </w:rPr>
        <w:t>[defendant]’s</w:t>
      </w:r>
      <w:r w:rsidR="00795164">
        <w:rPr>
          <w:rFonts w:ascii="Bookman Old Style" w:hAnsi="Bookman Old Style"/>
          <w:noProof w:val="0"/>
          <w:sz w:val="26"/>
          <w:szCs w:val="26"/>
        </w:rPr>
        <w:t xml:space="preserve"> conduct</w:t>
      </w:r>
      <w:r w:rsidRPr="00A4730E">
        <w:rPr>
          <w:rFonts w:ascii="Bookman Old Style" w:hAnsi="Bookman Old Style"/>
          <w:noProof w:val="0"/>
          <w:sz w:val="26"/>
          <w:szCs w:val="26"/>
        </w:rPr>
        <w:t>; and</w:t>
      </w:r>
    </w:p>
    <w:p w:rsidR="00A4730E" w:rsidRPr="00EA53ED" w:rsidRDefault="00A4730E" w:rsidP="00A4730E">
      <w:pPr>
        <w:pStyle w:val="OmniPage1"/>
        <w:tabs>
          <w:tab w:val="left" w:pos="720"/>
          <w:tab w:val="left" w:pos="2224"/>
          <w:tab w:val="right" w:pos="9440"/>
        </w:tabs>
        <w:spacing w:line="360" w:lineRule="auto"/>
        <w:ind w:right="69"/>
        <w:jc w:val="both"/>
        <w:rPr>
          <w:rFonts w:ascii="Bookman Old Style" w:hAnsi="Bookman Old Style"/>
          <w:noProof w:val="0"/>
          <w:sz w:val="26"/>
          <w:szCs w:val="26"/>
        </w:rPr>
      </w:pPr>
    </w:p>
    <w:p w:rsidR="00A4730E" w:rsidRPr="00A4730E" w:rsidRDefault="00A4730E" w:rsidP="00A4730E">
      <w:pPr>
        <w:pStyle w:val="OmniPage1"/>
        <w:tabs>
          <w:tab w:val="left" w:pos="720"/>
          <w:tab w:val="left" w:pos="2224"/>
          <w:tab w:val="right" w:pos="9440"/>
        </w:tabs>
        <w:spacing w:line="360" w:lineRule="auto"/>
        <w:ind w:left="720" w:right="69" w:hanging="720"/>
        <w:jc w:val="both"/>
        <w:rPr>
          <w:rFonts w:ascii="Bookman Old Style" w:hAnsi="Bookman Old Style"/>
          <w:noProof w:val="0"/>
          <w:sz w:val="26"/>
          <w:szCs w:val="26"/>
        </w:rPr>
      </w:pPr>
      <w:r>
        <w:rPr>
          <w:rFonts w:ascii="Bookman Old Style" w:hAnsi="Bookman Old Style"/>
          <w:noProof w:val="0"/>
          <w:sz w:val="26"/>
          <w:szCs w:val="26"/>
        </w:rPr>
        <w:t>(b</w:t>
      </w:r>
      <w:r w:rsidR="0057193C">
        <w:rPr>
          <w:rFonts w:ascii="Bookman Old Style" w:hAnsi="Bookman Old Style"/>
          <w:noProof w:val="0"/>
          <w:sz w:val="26"/>
          <w:szCs w:val="26"/>
        </w:rPr>
        <w:t xml:space="preserve">) </w:t>
      </w:r>
      <w:r w:rsidR="0057193C">
        <w:rPr>
          <w:rFonts w:ascii="Bookman Old Style" w:hAnsi="Bookman Old Style"/>
          <w:noProof w:val="0"/>
          <w:sz w:val="26"/>
          <w:szCs w:val="26"/>
        </w:rPr>
        <w:tab/>
        <w:t>[defendant]’s</w:t>
      </w:r>
      <w:r w:rsidR="00795164">
        <w:rPr>
          <w:rFonts w:ascii="Bookman Old Style" w:hAnsi="Bookman Old Style"/>
          <w:noProof w:val="0"/>
          <w:sz w:val="26"/>
          <w:szCs w:val="26"/>
        </w:rPr>
        <w:t xml:space="preserve"> conduct</w:t>
      </w:r>
      <w:r w:rsidRPr="00A4730E">
        <w:rPr>
          <w:rFonts w:ascii="Bookman Old Style" w:hAnsi="Bookman Old Style"/>
          <w:noProof w:val="0"/>
          <w:sz w:val="26"/>
          <w:szCs w:val="26"/>
        </w:rPr>
        <w:t xml:space="preserve"> was impo</w:t>
      </w:r>
      <w:r w:rsidR="00795164">
        <w:rPr>
          <w:rFonts w:ascii="Bookman Old Style" w:hAnsi="Bookman Old Style"/>
          <w:noProof w:val="0"/>
          <w:sz w:val="26"/>
          <w:szCs w:val="26"/>
        </w:rPr>
        <w:t>rtant enough in causing the loss</w:t>
      </w:r>
      <w:r w:rsidRPr="00A4730E">
        <w:rPr>
          <w:rFonts w:ascii="Bookman Old Style" w:hAnsi="Bookman Old Style"/>
          <w:noProof w:val="0"/>
          <w:sz w:val="26"/>
          <w:szCs w:val="26"/>
        </w:rPr>
        <w:t xml:space="preserve"> that a reasonable person</w:t>
      </w:r>
      <w:r w:rsidR="00795164">
        <w:rPr>
          <w:rFonts w:ascii="Bookman Old Style" w:hAnsi="Bookman Old Style"/>
          <w:noProof w:val="0"/>
          <w:sz w:val="26"/>
          <w:szCs w:val="26"/>
        </w:rPr>
        <w:t xml:space="preserve"> would hold [defendant] responsible</w:t>
      </w:r>
      <w:proofErr w:type="gramStart"/>
      <w:r w:rsidR="00795164">
        <w:rPr>
          <w:rFonts w:ascii="Bookman Old Style" w:hAnsi="Bookman Old Style"/>
          <w:noProof w:val="0"/>
          <w:sz w:val="26"/>
          <w:szCs w:val="26"/>
        </w:rPr>
        <w:t xml:space="preserve">. </w:t>
      </w:r>
      <w:proofErr w:type="gramEnd"/>
      <w:r w:rsidR="00795164">
        <w:rPr>
          <w:rFonts w:ascii="Bookman Old Style" w:hAnsi="Bookman Old Style"/>
          <w:noProof w:val="0"/>
          <w:sz w:val="26"/>
          <w:szCs w:val="26"/>
        </w:rPr>
        <w:t>[Defendant]’s</w:t>
      </w:r>
      <w:r w:rsidRPr="00A4730E">
        <w:rPr>
          <w:rFonts w:ascii="Bookman Old Style" w:hAnsi="Bookman Old Style"/>
          <w:noProof w:val="0"/>
          <w:sz w:val="26"/>
          <w:szCs w:val="26"/>
        </w:rPr>
        <w:t xml:space="preserve"> </w:t>
      </w:r>
      <w:r w:rsidR="00795164">
        <w:rPr>
          <w:rFonts w:ascii="Bookman Old Style" w:hAnsi="Bookman Old Style"/>
          <w:noProof w:val="0"/>
          <w:sz w:val="26"/>
          <w:szCs w:val="26"/>
        </w:rPr>
        <w:t xml:space="preserve">conduct </w:t>
      </w:r>
      <w:r w:rsidRPr="00A4730E">
        <w:rPr>
          <w:rFonts w:ascii="Bookman Old Style" w:hAnsi="Bookman Old Style"/>
          <w:noProof w:val="0"/>
          <w:sz w:val="26"/>
          <w:szCs w:val="26"/>
        </w:rPr>
        <w:t xml:space="preserve">cannot be a remote or trivial factor. </w:t>
      </w:r>
    </w:p>
    <w:p w:rsidR="00A4730E" w:rsidRPr="00EA53ED" w:rsidRDefault="00A4730E" w:rsidP="00A4730E">
      <w:pPr>
        <w:pStyle w:val="OmniPage11"/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A4730E" w:rsidRPr="00795164" w:rsidRDefault="00795164" w:rsidP="00A4730E">
      <w:pPr>
        <w:pStyle w:val="OmniPage11"/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EA53ED">
        <w:rPr>
          <w:rFonts w:ascii="Bookman Old Style" w:hAnsi="Bookman Old Style"/>
          <w:sz w:val="26"/>
          <w:szCs w:val="26"/>
        </w:rPr>
        <w:t>[</w:t>
      </w:r>
      <w:r>
        <w:rPr>
          <w:rFonts w:ascii="Bookman Old Style" w:hAnsi="Bookman Old Style"/>
          <w:sz w:val="26"/>
          <w:szCs w:val="26"/>
        </w:rPr>
        <w:t>Paragraph</w:t>
      </w:r>
      <w:r w:rsidR="00A4730E" w:rsidRPr="00795164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 xml:space="preserve">(a) </w:t>
      </w:r>
      <w:r w:rsidR="00A4730E" w:rsidRPr="00795164">
        <w:rPr>
          <w:rFonts w:ascii="Bookman Old Style" w:hAnsi="Bookman Old Style"/>
          <w:sz w:val="26"/>
          <w:szCs w:val="26"/>
        </w:rPr>
        <w:t>does not apply if two e</w:t>
      </w:r>
      <w:r>
        <w:rPr>
          <w:rFonts w:ascii="Bookman Old Style" w:hAnsi="Bookman Old Style"/>
          <w:sz w:val="26"/>
          <w:szCs w:val="26"/>
        </w:rPr>
        <w:t>vents operated to cause the loss</w:t>
      </w:r>
      <w:r w:rsidR="0057193C">
        <w:rPr>
          <w:rFonts w:ascii="Bookman Old Style" w:hAnsi="Bookman Old Style"/>
          <w:sz w:val="26"/>
          <w:szCs w:val="26"/>
        </w:rPr>
        <w:t>, one because of [</w:t>
      </w:r>
      <w:r w:rsidR="00A4730E" w:rsidRPr="00795164">
        <w:rPr>
          <w:rFonts w:ascii="Bookman Old Style" w:hAnsi="Bookman Old Style"/>
          <w:sz w:val="26"/>
          <w:szCs w:val="26"/>
        </w:rPr>
        <w:t>defendant</w:t>
      </w:r>
      <w:r w:rsidR="0057193C">
        <w:rPr>
          <w:rFonts w:ascii="Bookman Old Style" w:hAnsi="Bookman Old Style"/>
          <w:sz w:val="26"/>
          <w:szCs w:val="26"/>
        </w:rPr>
        <w:t>]’s conduct</w:t>
      </w:r>
      <w:r w:rsidR="00A4730E" w:rsidRPr="00795164">
        <w:rPr>
          <w:rFonts w:ascii="Bookman Old Style" w:hAnsi="Bookman Old Style"/>
          <w:sz w:val="26"/>
          <w:szCs w:val="26"/>
        </w:rPr>
        <w:t xml:space="preserve"> and the other not, and each event by itself was sufficient to cause the harm.] </w:t>
      </w:r>
    </w:p>
    <w:p w:rsidR="00886882" w:rsidRPr="0057193C" w:rsidRDefault="00886882">
      <w:pPr>
        <w:pStyle w:val="BodyTextIndent2"/>
        <w:rPr>
          <w:szCs w:val="26"/>
        </w:rPr>
      </w:pPr>
    </w:p>
    <w:p w:rsidR="004C580A" w:rsidRDefault="004C580A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If both of these things are true, then you must decide how much money will fairly compensate </w:t>
      </w:r>
      <w:r w:rsidR="0057193C">
        <w:rPr>
          <w:rFonts w:ascii="Bookman Old Style" w:hAnsi="Bookman Old Style"/>
          <w:sz w:val="26"/>
        </w:rPr>
        <w:t>[statutory</w:t>
      </w:r>
      <w:r>
        <w:rPr>
          <w:rFonts w:ascii="Bookman Old Style" w:hAnsi="Bookman Old Style"/>
          <w:sz w:val="26"/>
        </w:rPr>
        <w:t xml:space="preserve"> beneficiary</w:t>
      </w:r>
      <w:r w:rsidR="0057193C">
        <w:rPr>
          <w:rFonts w:ascii="Bookman Old Style" w:hAnsi="Bookman Old Style"/>
          <w:sz w:val="26"/>
        </w:rPr>
        <w:t>]</w:t>
      </w:r>
      <w:r>
        <w:rPr>
          <w:rFonts w:ascii="Bookman Old Style" w:hAnsi="Bookman Old Style"/>
          <w:sz w:val="26"/>
        </w:rPr>
        <w:t xml:space="preserve"> for that item of loss.  If one or both of these things are not true with respect to a particular item of loss, you may not make an award for that loss.</w:t>
      </w:r>
    </w:p>
    <w:p w:rsidR="004C580A" w:rsidRDefault="004C580A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4C580A" w:rsidRDefault="004C580A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4C580A" w:rsidRPr="00C746B5" w:rsidRDefault="004C580A">
      <w:pPr>
        <w:pStyle w:val="Heading1"/>
        <w:spacing w:line="240" w:lineRule="auto"/>
        <w:rPr>
          <w:b/>
        </w:rPr>
      </w:pPr>
      <w:r w:rsidRPr="00C746B5">
        <w:rPr>
          <w:b/>
        </w:rPr>
        <w:lastRenderedPageBreak/>
        <w:t>Use Note</w:t>
      </w:r>
    </w:p>
    <w:p w:rsidR="004C580A" w:rsidRDefault="004C580A">
      <w:pPr>
        <w:jc w:val="center"/>
        <w:rPr>
          <w:rFonts w:ascii="Bookman Old Style" w:hAnsi="Bookman Old Style"/>
          <w:sz w:val="26"/>
        </w:rPr>
      </w:pPr>
    </w:p>
    <w:p w:rsidR="004C580A" w:rsidRDefault="004C580A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This instruction </w:t>
      </w:r>
      <w:proofErr w:type="gramStart"/>
      <w:r>
        <w:rPr>
          <w:rFonts w:ascii="Bookman Old Style" w:hAnsi="Bookman Old Style"/>
          <w:sz w:val="26"/>
        </w:rPr>
        <w:t>should be used</w:t>
      </w:r>
      <w:proofErr w:type="gramEnd"/>
      <w:r>
        <w:rPr>
          <w:rFonts w:ascii="Bookman Old Style" w:hAnsi="Bookman Old Style"/>
          <w:sz w:val="26"/>
        </w:rPr>
        <w:t xml:space="preserve"> only </w:t>
      </w:r>
      <w:r w:rsidR="00F460B6">
        <w:rPr>
          <w:rFonts w:ascii="Bookman Old Style" w:hAnsi="Bookman Old Style"/>
          <w:sz w:val="26"/>
        </w:rPr>
        <w:t>when</w:t>
      </w:r>
      <w:r>
        <w:rPr>
          <w:rFonts w:ascii="Bookman Old Style" w:hAnsi="Bookman Old Style"/>
          <w:sz w:val="26"/>
        </w:rPr>
        <w:t xml:space="preserve"> the </w:t>
      </w:r>
      <w:r w:rsidR="00F460B6">
        <w:rPr>
          <w:rFonts w:ascii="Bookman Old Style" w:hAnsi="Bookman Old Style"/>
          <w:sz w:val="26"/>
        </w:rPr>
        <w:t>personal representative</w:t>
      </w:r>
      <w:r>
        <w:rPr>
          <w:rFonts w:ascii="Bookman Old Style" w:hAnsi="Bookman Old Style"/>
          <w:sz w:val="26"/>
        </w:rPr>
        <w:t xml:space="preserve"> represents one or more of the designated statutory beneficiaries (spouse, children, or other dependents). </w:t>
      </w:r>
      <w:r w:rsidR="00375D19">
        <w:rPr>
          <w:rFonts w:ascii="Bookman Old Style" w:hAnsi="Bookman Old Style"/>
          <w:sz w:val="26"/>
        </w:rPr>
        <w:t xml:space="preserve"> </w:t>
      </w:r>
      <w:r w:rsidR="00F460B6">
        <w:rPr>
          <w:rFonts w:ascii="Bookman Old Style" w:hAnsi="Bookman Old Style"/>
          <w:sz w:val="26"/>
        </w:rPr>
        <w:t>When</w:t>
      </w:r>
      <w:r>
        <w:rPr>
          <w:rFonts w:ascii="Bookman Old Style" w:hAnsi="Bookman Old Style"/>
          <w:sz w:val="26"/>
        </w:rPr>
        <w:t xml:space="preserve"> </w:t>
      </w:r>
      <w:r w:rsidR="00AA3250">
        <w:rPr>
          <w:rFonts w:ascii="Bookman Old Style" w:hAnsi="Bookman Old Style"/>
          <w:sz w:val="26"/>
        </w:rPr>
        <w:t xml:space="preserve">there are no statutory </w:t>
      </w:r>
      <w:r w:rsidR="00121DC3">
        <w:rPr>
          <w:rFonts w:ascii="Bookman Old Style" w:hAnsi="Bookman Old Style"/>
          <w:sz w:val="26"/>
        </w:rPr>
        <w:t>beneficiaries</w:t>
      </w:r>
      <w:r>
        <w:rPr>
          <w:rFonts w:ascii="Bookman Old Style" w:hAnsi="Bookman Old Style"/>
          <w:sz w:val="26"/>
        </w:rPr>
        <w:t>, use Instruction 04.12.</w:t>
      </w:r>
    </w:p>
    <w:p w:rsidR="004C580A" w:rsidRDefault="004C580A">
      <w:pPr>
        <w:rPr>
          <w:rFonts w:ascii="Bookman Old Style" w:hAnsi="Bookman Old Style"/>
          <w:sz w:val="26"/>
        </w:rPr>
      </w:pPr>
    </w:p>
    <w:p w:rsidR="004C580A" w:rsidRDefault="004C580A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This instruction should be used with Instruction 04.03 and with Instructions 04.06 </w:t>
      </w:r>
      <w:r>
        <w:rPr>
          <w:rFonts w:ascii="Bookman Old Style" w:hAnsi="Bookman Old Style"/>
          <w:sz w:val="26"/>
        </w:rPr>
        <w:noBreakHyphen/>
        <w:t xml:space="preserve"> 04.11, as needed.</w:t>
      </w:r>
    </w:p>
    <w:p w:rsidR="004C580A" w:rsidRDefault="004C580A">
      <w:pPr>
        <w:rPr>
          <w:rFonts w:ascii="Bookman Old Style" w:hAnsi="Bookman Old Style"/>
          <w:sz w:val="26"/>
        </w:rPr>
      </w:pPr>
    </w:p>
    <w:p w:rsidR="004C580A" w:rsidRDefault="004C580A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This instruction identifies the items of claimed </w:t>
      </w:r>
      <w:r w:rsidR="00F460B6">
        <w:rPr>
          <w:rFonts w:ascii="Bookman Old Style" w:hAnsi="Bookman Old Style"/>
          <w:sz w:val="26"/>
        </w:rPr>
        <w:t>loss</w:t>
      </w:r>
      <w:r>
        <w:rPr>
          <w:rFonts w:ascii="Bookman Old Style" w:hAnsi="Bookman Old Style"/>
          <w:sz w:val="26"/>
        </w:rPr>
        <w:t xml:space="preserve"> and explains the burden of proof.</w:t>
      </w:r>
      <w:r w:rsidR="00375D19">
        <w:rPr>
          <w:rFonts w:ascii="Bookman Old Style" w:hAnsi="Bookman Old Style"/>
          <w:sz w:val="26"/>
        </w:rPr>
        <w:t xml:space="preserve">  </w:t>
      </w:r>
      <w:r>
        <w:rPr>
          <w:rFonts w:ascii="Bookman Old Style" w:hAnsi="Bookman Old Style"/>
          <w:sz w:val="26"/>
        </w:rPr>
        <w:t xml:space="preserve">The appropriate categories of loss </w:t>
      </w:r>
      <w:proofErr w:type="gramStart"/>
      <w:r>
        <w:rPr>
          <w:rFonts w:ascii="Bookman Old Style" w:hAnsi="Bookman Old Style"/>
          <w:sz w:val="26"/>
        </w:rPr>
        <w:t>should be selected</w:t>
      </w:r>
      <w:proofErr w:type="gramEnd"/>
      <w:r>
        <w:rPr>
          <w:rFonts w:ascii="Bookman Old Style" w:hAnsi="Bookman Old Style"/>
          <w:sz w:val="26"/>
        </w:rPr>
        <w:t xml:space="preserve"> for the particular case. </w:t>
      </w:r>
      <w:r w:rsidR="00375D19">
        <w:rPr>
          <w:rFonts w:ascii="Bookman Old Style" w:hAnsi="Bookman Old Style"/>
          <w:sz w:val="26"/>
        </w:rPr>
        <w:t xml:space="preserve"> </w:t>
      </w:r>
      <w:r w:rsidR="0093305D">
        <w:rPr>
          <w:rFonts w:ascii="Bookman Old Style" w:hAnsi="Bookman Old Style"/>
          <w:sz w:val="26"/>
        </w:rPr>
        <w:t xml:space="preserve">Other categories of loss allowed by law </w:t>
      </w:r>
      <w:proofErr w:type="gramStart"/>
      <w:r w:rsidR="0093305D">
        <w:rPr>
          <w:rFonts w:ascii="Bookman Old Style" w:hAnsi="Bookman Old Style"/>
          <w:sz w:val="26"/>
        </w:rPr>
        <w:t>may be added</w:t>
      </w:r>
      <w:proofErr w:type="gramEnd"/>
      <w:r w:rsidR="0093305D">
        <w:rPr>
          <w:rFonts w:ascii="Bookman Old Style" w:hAnsi="Bookman Old Style"/>
          <w:sz w:val="26"/>
        </w:rPr>
        <w:t xml:space="preserve">. </w:t>
      </w:r>
      <w:r w:rsidR="00375D19"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</w:rPr>
        <w:t xml:space="preserve">For each </w:t>
      </w:r>
      <w:r w:rsidR="00F7013C">
        <w:rPr>
          <w:rFonts w:ascii="Bookman Old Style" w:hAnsi="Bookman Old Style"/>
          <w:sz w:val="26"/>
        </w:rPr>
        <w:t>beneficiary</w:t>
      </w:r>
      <w:r>
        <w:rPr>
          <w:rFonts w:ascii="Bookman Old Style" w:hAnsi="Bookman Old Style"/>
          <w:sz w:val="26"/>
        </w:rPr>
        <w:t xml:space="preserve">, specify which </w:t>
      </w:r>
      <w:r w:rsidR="00F7013C">
        <w:rPr>
          <w:rFonts w:ascii="Bookman Old Style" w:hAnsi="Bookman Old Style"/>
          <w:sz w:val="26"/>
        </w:rPr>
        <w:t xml:space="preserve">items of loss </w:t>
      </w:r>
      <w:proofErr w:type="gramStart"/>
      <w:r>
        <w:rPr>
          <w:rFonts w:ascii="Bookman Old Style" w:hAnsi="Bookman Old Style"/>
          <w:sz w:val="26"/>
        </w:rPr>
        <w:t xml:space="preserve">are </w:t>
      </w:r>
      <w:r w:rsidR="00F7013C">
        <w:rPr>
          <w:rFonts w:ascii="Bookman Old Style" w:hAnsi="Bookman Old Style"/>
          <w:sz w:val="26"/>
        </w:rPr>
        <w:t>claimed</w:t>
      </w:r>
      <w:proofErr w:type="gramEnd"/>
      <w:r>
        <w:rPr>
          <w:rFonts w:ascii="Bookman Old Style" w:hAnsi="Bookman Old Style"/>
          <w:sz w:val="26"/>
        </w:rPr>
        <w:t>.</w:t>
      </w:r>
    </w:p>
    <w:p w:rsidR="004C580A" w:rsidRDefault="004C580A">
      <w:pPr>
        <w:rPr>
          <w:rFonts w:ascii="Bookman Old Style" w:hAnsi="Bookman Old Style"/>
          <w:sz w:val="26"/>
        </w:rPr>
      </w:pPr>
    </w:p>
    <w:p w:rsidR="00375D19" w:rsidRDefault="00375D19">
      <w:pPr>
        <w:rPr>
          <w:rFonts w:ascii="Bookman Old Style" w:hAnsi="Bookman Old Style"/>
          <w:sz w:val="26"/>
        </w:rPr>
      </w:pPr>
    </w:p>
    <w:p w:rsidR="004C580A" w:rsidRPr="00C746B5" w:rsidRDefault="004C580A">
      <w:pPr>
        <w:ind w:left="4345"/>
        <w:rPr>
          <w:rFonts w:ascii="Bookman Old Style" w:hAnsi="Bookman Old Style"/>
          <w:b/>
          <w:sz w:val="26"/>
        </w:rPr>
      </w:pPr>
      <w:r w:rsidRPr="00C746B5">
        <w:rPr>
          <w:rFonts w:ascii="Bookman Old Style" w:hAnsi="Bookman Old Style"/>
          <w:b/>
          <w:sz w:val="26"/>
        </w:rPr>
        <w:t>Comment</w:t>
      </w:r>
    </w:p>
    <w:p w:rsidR="004C580A" w:rsidRDefault="004C580A">
      <w:pPr>
        <w:rPr>
          <w:rFonts w:ascii="Bookman Old Style" w:hAnsi="Bookman Old Style"/>
          <w:sz w:val="26"/>
        </w:rPr>
      </w:pPr>
    </w:p>
    <w:p w:rsidR="004C580A" w:rsidRDefault="004C580A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AS 09.55.580 provides that </w:t>
      </w:r>
      <w:r w:rsidR="00F7013C">
        <w:rPr>
          <w:rFonts w:ascii="Bookman Old Style" w:hAnsi="Bookman Old Style"/>
          <w:sz w:val="26"/>
        </w:rPr>
        <w:t>when</w:t>
      </w:r>
      <w:r>
        <w:rPr>
          <w:rFonts w:ascii="Bookman Old Style" w:hAnsi="Bookman Old Style"/>
          <w:sz w:val="26"/>
        </w:rPr>
        <w:t xml:space="preserve"> a deceased is survived by a spouse, child or other dependent the damages in a wrongful death claim are for their exclusive benefit</w:t>
      </w:r>
      <w:proofErr w:type="gramStart"/>
      <w:r>
        <w:rPr>
          <w:rFonts w:ascii="Bookman Old Style" w:hAnsi="Bookman Old Style"/>
          <w:sz w:val="26"/>
        </w:rPr>
        <w:t xml:space="preserve">. </w:t>
      </w:r>
      <w:proofErr w:type="gramEnd"/>
      <w:r w:rsidRPr="0038679B">
        <w:rPr>
          <w:rFonts w:ascii="Bookman Old Style" w:hAnsi="Bookman Old Style"/>
          <w:i/>
          <w:sz w:val="26"/>
        </w:rPr>
        <w:t>See</w:t>
      </w:r>
      <w:r>
        <w:rPr>
          <w:rFonts w:ascii="Bookman Old Style" w:hAnsi="Bookman Old Style"/>
          <w:sz w:val="26"/>
        </w:rPr>
        <w:t xml:space="preserve"> Comment to Instruction 04.03. </w:t>
      </w:r>
      <w:r w:rsidR="00375D19"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</w:rPr>
        <w:t>When there is more than one statutory beneficiary, the court has held that the trier of fact must make separate awards for each</w:t>
      </w:r>
      <w:proofErr w:type="gramStart"/>
      <w:r>
        <w:rPr>
          <w:rFonts w:ascii="Bookman Old Style" w:hAnsi="Bookman Old Style"/>
          <w:sz w:val="26"/>
        </w:rPr>
        <w:t xml:space="preserve">. </w:t>
      </w:r>
      <w:r w:rsidRPr="0038679B">
        <w:rPr>
          <w:rFonts w:ascii="Bookman Old Style" w:hAnsi="Bookman Old Style"/>
          <w:i/>
          <w:sz w:val="26"/>
        </w:rPr>
        <w:t>Horsford v. Estate of Horsford</w:t>
      </w:r>
      <w:r>
        <w:rPr>
          <w:rFonts w:ascii="Bookman Old Style" w:hAnsi="Bookman Old Style"/>
          <w:sz w:val="26"/>
        </w:rPr>
        <w:t>, 561 P.2d 722, 727 (Alaska 1977).</w:t>
      </w:r>
      <w:proofErr w:type="gramEnd"/>
    </w:p>
    <w:p w:rsidR="004C580A" w:rsidRDefault="004C580A">
      <w:pPr>
        <w:rPr>
          <w:rFonts w:ascii="Bookman Old Style" w:hAnsi="Bookman Old Style"/>
          <w:sz w:val="26"/>
        </w:rPr>
      </w:pPr>
    </w:p>
    <w:p w:rsidR="004C580A" w:rsidRDefault="004C580A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AS </w:t>
      </w:r>
      <w:proofErr w:type="gramStart"/>
      <w:r>
        <w:rPr>
          <w:rFonts w:ascii="Bookman Old Style" w:hAnsi="Bookman Old Style"/>
          <w:sz w:val="26"/>
        </w:rPr>
        <w:t>09.55.580(a) provides that</w:t>
      </w:r>
      <w:proofErr w:type="gramEnd"/>
      <w:r>
        <w:rPr>
          <w:rFonts w:ascii="Bookman Old Style" w:hAnsi="Bookman Old Style"/>
          <w:sz w:val="26"/>
        </w:rPr>
        <w:t xml:space="preserve"> the amounts to be recovered by each beneficiary are those the jury decides are "fair and just." </w:t>
      </w:r>
      <w:r w:rsidR="00375D19"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</w:rPr>
        <w:t>This appears to be the basic standard for the damage award.</w:t>
      </w:r>
    </w:p>
    <w:p w:rsidR="004C580A" w:rsidRDefault="004C580A">
      <w:pPr>
        <w:rPr>
          <w:rFonts w:ascii="Bookman Old Style" w:hAnsi="Bookman Old Style"/>
          <w:sz w:val="26"/>
        </w:rPr>
      </w:pPr>
    </w:p>
    <w:p w:rsidR="004C580A" w:rsidRDefault="004C580A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original version of this instruction included the following language:</w:t>
      </w:r>
    </w:p>
    <w:p w:rsidR="004C580A" w:rsidRDefault="004C580A">
      <w:pPr>
        <w:rPr>
          <w:rFonts w:ascii="Bookman Old Style" w:hAnsi="Bookman Old Style"/>
          <w:sz w:val="26"/>
        </w:rPr>
      </w:pPr>
    </w:p>
    <w:p w:rsidR="004C580A" w:rsidRDefault="004C580A">
      <w:pPr>
        <w:pStyle w:val="BlockText"/>
      </w:pPr>
      <w:r>
        <w:t>You may also consider other items of loss suffered by each beneficiary and supported by the evidence in this case.</w:t>
      </w:r>
    </w:p>
    <w:p w:rsidR="004C580A" w:rsidRDefault="004C580A">
      <w:pPr>
        <w:rPr>
          <w:rFonts w:ascii="Bookman Old Style" w:hAnsi="Bookman Old Style"/>
          <w:sz w:val="26"/>
        </w:rPr>
      </w:pPr>
    </w:p>
    <w:p w:rsidR="004C580A" w:rsidRDefault="004C580A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That language </w:t>
      </w:r>
      <w:proofErr w:type="gramStart"/>
      <w:r>
        <w:rPr>
          <w:rFonts w:ascii="Bookman Old Style" w:hAnsi="Bookman Old Style"/>
          <w:sz w:val="26"/>
        </w:rPr>
        <w:t>was expressly disapproved</w:t>
      </w:r>
      <w:proofErr w:type="gramEnd"/>
      <w:r>
        <w:rPr>
          <w:rFonts w:ascii="Bookman Old Style" w:hAnsi="Bookman Old Style"/>
          <w:sz w:val="26"/>
        </w:rPr>
        <w:t xml:space="preserve"> as unauthorized and potentially confusing in </w:t>
      </w:r>
      <w:r w:rsidRPr="0038679B">
        <w:rPr>
          <w:rFonts w:ascii="Bookman Old Style" w:hAnsi="Bookman Old Style"/>
          <w:i/>
          <w:sz w:val="26"/>
        </w:rPr>
        <w:t>Tommy's Elbow Room, Inc. v. Kavorkian</w:t>
      </w:r>
      <w:r>
        <w:rPr>
          <w:rFonts w:ascii="Bookman Old Style" w:hAnsi="Bookman Old Style"/>
          <w:sz w:val="26"/>
        </w:rPr>
        <w:t>, 727 P.2d 1038, 1045</w:t>
      </w:r>
      <w:r>
        <w:rPr>
          <w:rFonts w:ascii="Bookman Old Style" w:hAnsi="Bookman Old Style"/>
          <w:sz w:val="26"/>
        </w:rPr>
        <w:noBreakHyphen/>
        <w:t>46 (Alaska 1986).</w:t>
      </w:r>
    </w:p>
    <w:p w:rsidR="004C580A" w:rsidRDefault="004C580A">
      <w:pPr>
        <w:rPr>
          <w:rFonts w:ascii="Bookman Old Style" w:hAnsi="Bookman Old Style"/>
          <w:sz w:val="26"/>
        </w:rPr>
      </w:pPr>
    </w:p>
    <w:p w:rsidR="00F7013C" w:rsidRDefault="00F7013C" w:rsidP="00A13D7A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AS 09.17.040(a) requires the jury to itemize past and future economic and noneconomic losses. </w:t>
      </w:r>
      <w:r w:rsidR="00375D19"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</w:rPr>
        <w:t>Noneconomic losses are subject to the cap in AS 09.17.010.</w:t>
      </w:r>
      <w:r w:rsidR="00E814D3">
        <w:rPr>
          <w:rFonts w:ascii="Bookman Old Style" w:hAnsi="Bookman Old Style"/>
          <w:sz w:val="26"/>
        </w:rPr>
        <w:t xml:space="preserve"> </w:t>
      </w:r>
      <w:r w:rsidR="00375D19">
        <w:rPr>
          <w:rFonts w:ascii="Bookman Old Style" w:hAnsi="Bookman Old Style"/>
          <w:sz w:val="26"/>
        </w:rPr>
        <w:t xml:space="preserve"> </w:t>
      </w:r>
      <w:r w:rsidR="00273147">
        <w:rPr>
          <w:rFonts w:ascii="Bookman Old Style" w:hAnsi="Bookman Old Style"/>
          <w:sz w:val="26"/>
        </w:rPr>
        <w:t>The</w:t>
      </w:r>
      <w:r w:rsidR="00E814D3">
        <w:rPr>
          <w:rFonts w:ascii="Bookman Old Style" w:hAnsi="Bookman Old Style"/>
          <w:sz w:val="26"/>
        </w:rPr>
        <w:t xml:space="preserve"> Alaska Supreme Court has ruled that juries </w:t>
      </w:r>
      <w:proofErr w:type="gramStart"/>
      <w:r w:rsidR="00E814D3">
        <w:rPr>
          <w:rFonts w:ascii="Bookman Old Style" w:hAnsi="Bookman Old Style"/>
          <w:sz w:val="26"/>
        </w:rPr>
        <w:t>should not be instructed</w:t>
      </w:r>
      <w:proofErr w:type="gramEnd"/>
      <w:r w:rsidR="00273147">
        <w:rPr>
          <w:rFonts w:ascii="Bookman Old Style" w:hAnsi="Bookman Old Style"/>
          <w:sz w:val="26"/>
        </w:rPr>
        <w:t xml:space="preserve"> on the cap on non-economic damages.</w:t>
      </w:r>
      <w:r w:rsidR="00375D19">
        <w:rPr>
          <w:rFonts w:ascii="Bookman Old Style" w:hAnsi="Bookman Old Style"/>
          <w:sz w:val="26"/>
        </w:rPr>
        <w:t xml:space="preserve"> </w:t>
      </w:r>
      <w:r w:rsidR="00E173FC" w:rsidRPr="00E173FC">
        <w:rPr>
          <w:rFonts w:ascii="Bookman Old Style" w:hAnsi="Bookman Old Style" w:cs="Courier New"/>
          <w:sz w:val="26"/>
          <w:szCs w:val="26"/>
        </w:rPr>
        <w:t xml:space="preserve"> </w:t>
      </w:r>
      <w:proofErr w:type="gramStart"/>
      <w:r w:rsidR="00E173FC" w:rsidRPr="0038679B">
        <w:rPr>
          <w:rFonts w:ascii="Bookman Old Style" w:hAnsi="Bookman Old Style" w:cs="Courier New"/>
          <w:i/>
          <w:sz w:val="26"/>
          <w:szCs w:val="26"/>
        </w:rPr>
        <w:t xml:space="preserve">Kodiak Island </w:t>
      </w:r>
      <w:r w:rsidR="00E173FC" w:rsidRPr="0038679B">
        <w:rPr>
          <w:rFonts w:ascii="Bookman Old Style" w:hAnsi="Bookman Old Style" w:cs="Courier New"/>
          <w:i/>
          <w:sz w:val="26"/>
          <w:szCs w:val="26"/>
        </w:rPr>
        <w:lastRenderedPageBreak/>
        <w:t>Borough v. Roe</w:t>
      </w:r>
      <w:r w:rsidR="00E173FC" w:rsidRPr="00A101BF">
        <w:rPr>
          <w:rFonts w:ascii="Bookman Old Style" w:hAnsi="Bookman Old Style" w:cs="Courier New"/>
          <w:sz w:val="26"/>
          <w:szCs w:val="26"/>
        </w:rPr>
        <w:t>, 63 P.3d 1009 (2003).</w:t>
      </w:r>
      <w:proofErr w:type="gramEnd"/>
      <w:r w:rsidR="00E173FC" w:rsidRPr="00A101BF">
        <w:rPr>
          <w:rFonts w:ascii="Bookman Old Style" w:hAnsi="Bookman Old Style" w:cs="Courier New"/>
          <w:sz w:val="26"/>
          <w:szCs w:val="26"/>
        </w:rPr>
        <w:t xml:space="preserve"> </w:t>
      </w:r>
      <w:r w:rsidR="00375D19">
        <w:rPr>
          <w:rFonts w:ascii="Bookman Old Style" w:hAnsi="Bookman Old Style" w:cs="Courier New"/>
          <w:sz w:val="26"/>
          <w:szCs w:val="26"/>
        </w:rPr>
        <w:t xml:space="preserve"> </w:t>
      </w:r>
      <w:r w:rsidR="00E173FC" w:rsidRPr="0038679B">
        <w:rPr>
          <w:rFonts w:ascii="Bookman Old Style" w:hAnsi="Bookman Old Style" w:cs="Courier New"/>
          <w:i/>
          <w:sz w:val="26"/>
          <w:szCs w:val="26"/>
        </w:rPr>
        <w:t>See also Central Bering Sea Fishermen's Ass'n v. Anderson</w:t>
      </w:r>
      <w:r w:rsidR="00E173FC" w:rsidRPr="00A101BF">
        <w:rPr>
          <w:rFonts w:ascii="Bookman Old Style" w:hAnsi="Bookman Old Style" w:cs="Courier New"/>
          <w:sz w:val="26"/>
          <w:szCs w:val="26"/>
        </w:rPr>
        <w:t>, 54 P.3d 271 (Alaska 2002).</w:t>
      </w:r>
    </w:p>
    <w:p w:rsidR="00F7013C" w:rsidRDefault="00F7013C">
      <w:pPr>
        <w:rPr>
          <w:rFonts w:ascii="Bookman Old Style" w:hAnsi="Bookman Old Style"/>
          <w:sz w:val="26"/>
        </w:rPr>
      </w:pPr>
    </w:p>
    <w:p w:rsidR="004C580A" w:rsidRDefault="004C580A">
      <w:pPr>
        <w:jc w:val="both"/>
        <w:rPr>
          <w:rFonts w:ascii="Bookman Old Style" w:hAnsi="Bookman Old Style"/>
          <w:sz w:val="26"/>
        </w:rPr>
      </w:pPr>
    </w:p>
    <w:sectPr w:rsidR="004C580A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BB" w:rsidRDefault="00A717BB">
      <w:r>
        <w:separator/>
      </w:r>
    </w:p>
  </w:endnote>
  <w:endnote w:type="continuationSeparator" w:id="0">
    <w:p w:rsidR="00A717BB" w:rsidRDefault="00A7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EC0" w:rsidRPr="00375D19" w:rsidRDefault="00C90EC0">
    <w:pPr>
      <w:pStyle w:val="Footer"/>
      <w:tabs>
        <w:tab w:val="clear" w:pos="8640"/>
        <w:tab w:val="right" w:pos="9360"/>
      </w:tabs>
      <w:rPr>
        <w:rFonts w:ascii="Bookman Old Style" w:hAnsi="Bookman Old Style"/>
        <w:sz w:val="22"/>
        <w:szCs w:val="22"/>
      </w:rPr>
    </w:pPr>
    <w:r w:rsidRPr="00375D19">
      <w:rPr>
        <w:rFonts w:ascii="Bookman Old Style" w:hAnsi="Bookman Old Style"/>
        <w:sz w:val="22"/>
        <w:szCs w:val="22"/>
      </w:rPr>
      <w:t xml:space="preserve">Revised </w:t>
    </w:r>
    <w:r w:rsidR="00EA53ED" w:rsidRPr="00375D19">
      <w:rPr>
        <w:rFonts w:ascii="Bookman Old Style" w:hAnsi="Bookman Old Style"/>
        <w:sz w:val="22"/>
        <w:szCs w:val="22"/>
      </w:rPr>
      <w:t>2013</w:t>
    </w:r>
    <w:r w:rsidRPr="00375D19">
      <w:rPr>
        <w:rFonts w:ascii="Bookman Old Style" w:hAnsi="Bookman Old Style"/>
        <w:sz w:val="22"/>
        <w:szCs w:val="22"/>
      </w:rPr>
      <w:tab/>
    </w:r>
    <w:r w:rsidRPr="00375D19">
      <w:rPr>
        <w:rFonts w:ascii="Bookman Old Style" w:hAnsi="Bookman Old Style"/>
        <w:sz w:val="22"/>
        <w:szCs w:val="22"/>
      </w:rPr>
      <w:tab/>
      <w:t xml:space="preserve">04.05B – </w:t>
    </w:r>
    <w:r w:rsidRPr="00375D19">
      <w:rPr>
        <w:rStyle w:val="PageNumber"/>
        <w:rFonts w:ascii="Bookman Old Style" w:hAnsi="Bookman Old Style"/>
        <w:sz w:val="22"/>
        <w:szCs w:val="22"/>
      </w:rPr>
      <w:fldChar w:fldCharType="begin"/>
    </w:r>
    <w:r w:rsidRPr="00375D19">
      <w:rPr>
        <w:rStyle w:val="PageNumber"/>
        <w:rFonts w:ascii="Bookman Old Style" w:hAnsi="Bookman Old Style"/>
        <w:sz w:val="22"/>
        <w:szCs w:val="22"/>
      </w:rPr>
      <w:instrText xml:space="preserve"> PAGE </w:instrText>
    </w:r>
    <w:r w:rsidRPr="00375D19">
      <w:rPr>
        <w:rStyle w:val="PageNumber"/>
        <w:rFonts w:ascii="Bookman Old Style" w:hAnsi="Bookman Old Style"/>
        <w:sz w:val="22"/>
        <w:szCs w:val="22"/>
      </w:rPr>
      <w:fldChar w:fldCharType="separate"/>
    </w:r>
    <w:r w:rsidR="00C96BA4">
      <w:rPr>
        <w:rStyle w:val="PageNumber"/>
        <w:rFonts w:ascii="Bookman Old Style" w:hAnsi="Bookman Old Style"/>
        <w:noProof/>
        <w:sz w:val="22"/>
        <w:szCs w:val="22"/>
      </w:rPr>
      <w:t>1</w:t>
    </w:r>
    <w:r w:rsidRPr="00375D19">
      <w:rPr>
        <w:rStyle w:val="PageNumber"/>
        <w:rFonts w:ascii="Bookman Old Style" w:hAnsi="Bookman Old Styl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BB" w:rsidRDefault="00A717BB">
      <w:r>
        <w:separator/>
      </w:r>
    </w:p>
  </w:footnote>
  <w:footnote w:type="continuationSeparator" w:id="0">
    <w:p w:rsidR="00A717BB" w:rsidRDefault="00A71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7924"/>
    <w:multiLevelType w:val="hybridMultilevel"/>
    <w:tmpl w:val="A99C4D1A"/>
    <w:lvl w:ilvl="0" w:tplc="069CD2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24196"/>
    <w:multiLevelType w:val="hybridMultilevel"/>
    <w:tmpl w:val="235CF948"/>
    <w:lvl w:ilvl="0" w:tplc="C0CA8132">
      <w:start w:val="1"/>
      <w:numFmt w:val="decimal"/>
      <w:lvlText w:val="(%1)"/>
      <w:lvlJc w:val="left"/>
      <w:pPr>
        <w:ind w:left="108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F"/>
    <w:rsid w:val="00062B01"/>
    <w:rsid w:val="00074632"/>
    <w:rsid w:val="000A0E63"/>
    <w:rsid w:val="00121DC3"/>
    <w:rsid w:val="0016714F"/>
    <w:rsid w:val="00206F1A"/>
    <w:rsid w:val="00273147"/>
    <w:rsid w:val="002C27E0"/>
    <w:rsid w:val="002E0469"/>
    <w:rsid w:val="00303727"/>
    <w:rsid w:val="00375D19"/>
    <w:rsid w:val="00383780"/>
    <w:rsid w:val="0038679B"/>
    <w:rsid w:val="003A0C62"/>
    <w:rsid w:val="004A1222"/>
    <w:rsid w:val="004C580A"/>
    <w:rsid w:val="0057193C"/>
    <w:rsid w:val="006D7B33"/>
    <w:rsid w:val="00795164"/>
    <w:rsid w:val="00815EA3"/>
    <w:rsid w:val="00817870"/>
    <w:rsid w:val="0085671C"/>
    <w:rsid w:val="008628D6"/>
    <w:rsid w:val="008755B8"/>
    <w:rsid w:val="00886882"/>
    <w:rsid w:val="00912A37"/>
    <w:rsid w:val="0093305D"/>
    <w:rsid w:val="00962D1E"/>
    <w:rsid w:val="0096563E"/>
    <w:rsid w:val="009E457E"/>
    <w:rsid w:val="00A13D7A"/>
    <w:rsid w:val="00A4730E"/>
    <w:rsid w:val="00A548FF"/>
    <w:rsid w:val="00A575E3"/>
    <w:rsid w:val="00A717BB"/>
    <w:rsid w:val="00AA3250"/>
    <w:rsid w:val="00BB7F0E"/>
    <w:rsid w:val="00BE227F"/>
    <w:rsid w:val="00C746B5"/>
    <w:rsid w:val="00C90EC0"/>
    <w:rsid w:val="00C96BA4"/>
    <w:rsid w:val="00D0215D"/>
    <w:rsid w:val="00D26958"/>
    <w:rsid w:val="00D335E2"/>
    <w:rsid w:val="00D914E3"/>
    <w:rsid w:val="00DA25C1"/>
    <w:rsid w:val="00E173FC"/>
    <w:rsid w:val="00E21D43"/>
    <w:rsid w:val="00E814D3"/>
    <w:rsid w:val="00EA53ED"/>
    <w:rsid w:val="00F048B0"/>
    <w:rsid w:val="00F22046"/>
    <w:rsid w:val="00F35691"/>
    <w:rsid w:val="00F460B6"/>
    <w:rsid w:val="00F7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Bookman Old Style" w:hAnsi="Bookman Old Style"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Bookman Old Style" w:hAnsi="Bookman Old Style"/>
      <w:sz w:val="26"/>
    </w:rPr>
  </w:style>
  <w:style w:type="paragraph" w:styleId="BodyText2">
    <w:name w:val="Body Text 2"/>
    <w:basedOn w:val="Normal"/>
    <w:pPr>
      <w:ind w:left="1440" w:hanging="1440"/>
      <w:jc w:val="both"/>
    </w:pPr>
    <w:rPr>
      <w:rFonts w:ascii="Bookman Old Style" w:hAnsi="Bookman Old Style"/>
      <w:b/>
      <w:sz w:val="26"/>
    </w:r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pPr>
      <w:ind w:left="720" w:right="720"/>
      <w:jc w:val="both"/>
    </w:pPr>
    <w:rPr>
      <w:rFonts w:ascii="Bookman Old Style" w:hAnsi="Bookman Old Style"/>
      <w:sz w:val="26"/>
    </w:rPr>
  </w:style>
  <w:style w:type="paragraph" w:styleId="BodyTextIndent2">
    <w:name w:val="Body Text Indent 2"/>
    <w:basedOn w:val="Normal"/>
    <w:pPr>
      <w:spacing w:line="360" w:lineRule="auto"/>
      <w:ind w:left="720" w:hanging="720"/>
      <w:jc w:val="both"/>
    </w:pPr>
    <w:rPr>
      <w:rFonts w:ascii="Bookman Old Style" w:hAnsi="Bookman Old Style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5691"/>
    <w:rPr>
      <w:rFonts w:ascii="Tahoma" w:hAnsi="Tahoma" w:cs="Tahoma"/>
      <w:sz w:val="16"/>
      <w:szCs w:val="16"/>
    </w:rPr>
  </w:style>
  <w:style w:type="paragraph" w:customStyle="1" w:styleId="OmniPage11">
    <w:name w:val="OmniPage #11"/>
    <w:basedOn w:val="Normal"/>
    <w:rsid w:val="00A4730E"/>
    <w:pPr>
      <w:overflowPunct/>
      <w:autoSpaceDE/>
      <w:autoSpaceDN/>
      <w:adjustRightInd/>
      <w:spacing w:line="480" w:lineRule="exact"/>
      <w:textAlignment w:val="auto"/>
    </w:pPr>
  </w:style>
  <w:style w:type="paragraph" w:customStyle="1" w:styleId="OmniPage1">
    <w:name w:val="OmniPage #1"/>
    <w:basedOn w:val="Normal"/>
    <w:rsid w:val="00A4730E"/>
    <w:pPr>
      <w:overflowPunct/>
      <w:autoSpaceDE/>
      <w:autoSpaceDN/>
      <w:adjustRightInd/>
      <w:spacing w:line="240" w:lineRule="exact"/>
      <w:textAlignment w:val="auto"/>
    </w:pPr>
    <w:rPr>
      <w:rFonts w:ascii="Courier New" w:hAnsi="Courier New"/>
      <w:noProof/>
    </w:rPr>
  </w:style>
  <w:style w:type="paragraph" w:styleId="Revision">
    <w:name w:val="Revision"/>
    <w:hidden/>
    <w:uiPriority w:val="99"/>
    <w:semiHidden/>
    <w:rsid w:val="00EA53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Bookman Old Style" w:hAnsi="Bookman Old Style"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Bookman Old Style" w:hAnsi="Bookman Old Style"/>
      <w:sz w:val="26"/>
    </w:rPr>
  </w:style>
  <w:style w:type="paragraph" w:styleId="BodyText2">
    <w:name w:val="Body Text 2"/>
    <w:basedOn w:val="Normal"/>
    <w:pPr>
      <w:ind w:left="1440" w:hanging="1440"/>
      <w:jc w:val="both"/>
    </w:pPr>
    <w:rPr>
      <w:rFonts w:ascii="Bookman Old Style" w:hAnsi="Bookman Old Style"/>
      <w:b/>
      <w:sz w:val="26"/>
    </w:rPr>
  </w:style>
  <w:style w:type="character" w:styleId="PageNumber">
    <w:name w:val="page number"/>
    <w:basedOn w:val="DefaultParagraphFont"/>
    <w:semiHidden/>
  </w:style>
  <w:style w:type="paragraph" w:styleId="BlockText">
    <w:name w:val="Block Text"/>
    <w:basedOn w:val="Normal"/>
    <w:pPr>
      <w:ind w:left="720" w:right="720"/>
      <w:jc w:val="both"/>
    </w:pPr>
    <w:rPr>
      <w:rFonts w:ascii="Bookman Old Style" w:hAnsi="Bookman Old Style"/>
      <w:sz w:val="26"/>
    </w:rPr>
  </w:style>
  <w:style w:type="paragraph" w:styleId="BodyTextIndent2">
    <w:name w:val="Body Text Indent 2"/>
    <w:basedOn w:val="Normal"/>
    <w:pPr>
      <w:spacing w:line="360" w:lineRule="auto"/>
      <w:ind w:left="720" w:hanging="720"/>
      <w:jc w:val="both"/>
    </w:pPr>
    <w:rPr>
      <w:rFonts w:ascii="Bookman Old Style" w:hAnsi="Bookman Old Style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5691"/>
    <w:rPr>
      <w:rFonts w:ascii="Tahoma" w:hAnsi="Tahoma" w:cs="Tahoma"/>
      <w:sz w:val="16"/>
      <w:szCs w:val="16"/>
    </w:rPr>
  </w:style>
  <w:style w:type="paragraph" w:customStyle="1" w:styleId="OmniPage11">
    <w:name w:val="OmniPage #11"/>
    <w:basedOn w:val="Normal"/>
    <w:rsid w:val="00A4730E"/>
    <w:pPr>
      <w:overflowPunct/>
      <w:autoSpaceDE/>
      <w:autoSpaceDN/>
      <w:adjustRightInd/>
      <w:spacing w:line="480" w:lineRule="exact"/>
      <w:textAlignment w:val="auto"/>
    </w:pPr>
  </w:style>
  <w:style w:type="paragraph" w:customStyle="1" w:styleId="OmniPage1">
    <w:name w:val="OmniPage #1"/>
    <w:basedOn w:val="Normal"/>
    <w:rsid w:val="00A4730E"/>
    <w:pPr>
      <w:overflowPunct/>
      <w:autoSpaceDE/>
      <w:autoSpaceDN/>
      <w:adjustRightInd/>
      <w:spacing w:line="240" w:lineRule="exact"/>
      <w:textAlignment w:val="auto"/>
    </w:pPr>
    <w:rPr>
      <w:rFonts w:ascii="Courier New" w:hAnsi="Courier New"/>
      <w:noProof/>
    </w:rPr>
  </w:style>
  <w:style w:type="paragraph" w:styleId="Revision">
    <w:name w:val="Revision"/>
    <w:hidden/>
    <w:uiPriority w:val="99"/>
    <w:semiHidden/>
    <w:rsid w:val="00EA5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74DED-9DAA-4B9A-AA52-98CDEC8D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04</vt:lpstr>
      </vt:variant>
      <vt:variant>
        <vt:i4>0</vt:i4>
      </vt:variant>
    </vt:vector>
  </HeadingPairs>
  <TitlesOfParts>
    <vt:vector size="1" baseType="lpstr">
      <vt:lpstr>04</vt:lpstr>
    </vt:vector>
  </TitlesOfParts>
  <Company>Alaska Court System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korzechowski</dc:creator>
  <cp:lastModifiedBy>Windows User</cp:lastModifiedBy>
  <cp:revision>2</cp:revision>
  <cp:lastPrinted>2013-10-08T17:51:00Z</cp:lastPrinted>
  <dcterms:created xsi:type="dcterms:W3CDTF">2013-10-08T21:30:00Z</dcterms:created>
  <dcterms:modified xsi:type="dcterms:W3CDTF">2013-10-08T21:30:00Z</dcterms:modified>
</cp:coreProperties>
</file>