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5A" w:rsidRDefault="00B83C5A">
      <w:pPr>
        <w:pStyle w:val="BodyText2"/>
        <w:spacing w:line="240" w:lineRule="auto"/>
      </w:pPr>
      <w:bookmarkStart w:id="0" w:name="_GoBack"/>
      <w:bookmarkEnd w:id="0"/>
      <w:r>
        <w:t>04.07</w:t>
      </w:r>
      <w:r>
        <w:tab/>
        <w:t>WRONGFUL DEATH DAMAGES — LOSS OF ASSISTANCE OR SERVICES</w:t>
      </w:r>
    </w:p>
    <w:p w:rsidR="00B83C5A" w:rsidRDefault="00B83C5A">
      <w:pPr>
        <w:widowControl w:val="0"/>
        <w:spacing w:line="360" w:lineRule="auto"/>
        <w:ind w:left="1440" w:hanging="1440"/>
        <w:jc w:val="both"/>
        <w:rPr>
          <w:rFonts w:ascii="Bookman Old Style" w:hAnsi="Bookman Old Style" w:cs="Bookman Old Style"/>
          <w:b/>
          <w:bCs/>
          <w:snapToGrid w:val="0"/>
          <w:sz w:val="26"/>
          <w:szCs w:val="26"/>
        </w:rPr>
      </w:pP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The </w:t>
      </w:r>
      <w:r w:rsidR="00D247B6">
        <w:rPr>
          <w:rFonts w:ascii="Bookman Old Style" w:hAnsi="Bookman Old Style" w:cs="Bookman Old Style"/>
          <w:snapToGrid w:val="0"/>
          <w:sz w:val="26"/>
          <w:szCs w:val="26"/>
        </w:rPr>
        <w:t>_____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 and </w:t>
      </w:r>
      <w:r w:rsidR="00D247B6">
        <w:rPr>
          <w:rFonts w:ascii="Bookman Old Style" w:hAnsi="Bookman Old Style" w:cs="Bookman Old Style"/>
          <w:snapToGrid w:val="0"/>
          <w:sz w:val="26"/>
          <w:szCs w:val="26"/>
        </w:rPr>
        <w:t>_____</w:t>
      </w:r>
      <w:r w:rsidR="00B74878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 xml:space="preserve">items of </w:t>
      </w:r>
      <w:r w:rsidR="00486E96">
        <w:rPr>
          <w:rFonts w:ascii="Bookman Old Style" w:hAnsi="Bookman Old Style" w:cs="Bookman Old Style"/>
          <w:snapToGrid w:val="0"/>
          <w:sz w:val="26"/>
          <w:szCs w:val="26"/>
        </w:rPr>
        <w:t xml:space="preserve">economic 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loss </w:t>
      </w:r>
      <w:r w:rsidR="00B74878">
        <w:rPr>
          <w:rFonts w:ascii="Bookman Old Style" w:hAnsi="Bookman Old Style" w:cs="Bookman Old Style"/>
          <w:snapToGrid w:val="0"/>
          <w:sz w:val="26"/>
          <w:szCs w:val="26"/>
        </w:rPr>
        <w:t xml:space="preserve">claimed by the plaintiff </w:t>
      </w:r>
      <w:r>
        <w:rPr>
          <w:rFonts w:ascii="Bookman Old Style" w:hAnsi="Bookman Old Style" w:cs="Bookman Old Style"/>
          <w:snapToGrid w:val="0"/>
          <w:sz w:val="26"/>
          <w:szCs w:val="26"/>
        </w:rPr>
        <w:t>are</w:t>
      </w:r>
      <w:r w:rsidR="00044F3F">
        <w:rPr>
          <w:rFonts w:ascii="Bookman Old Style" w:hAnsi="Bookman Old Style" w:cs="Bookman Old Style"/>
          <w:snapToGrid w:val="0"/>
          <w:sz w:val="26"/>
          <w:szCs w:val="26"/>
        </w:rPr>
        <w:t xml:space="preserve"> the 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past and </w:t>
      </w:r>
      <w:r w:rsidR="00486E96">
        <w:rPr>
          <w:rFonts w:ascii="Bookman Old Style" w:hAnsi="Bookman Old Style" w:cs="Bookman Old Style"/>
          <w:snapToGrid w:val="0"/>
          <w:sz w:val="26"/>
          <w:szCs w:val="26"/>
        </w:rPr>
        <w:t>future</w:t>
      </w:r>
      <w:r w:rsidR="00B74878">
        <w:rPr>
          <w:rFonts w:ascii="Bookman Old Style" w:hAnsi="Bookman Old Style" w:cs="Bookman Old Style"/>
          <w:snapToGrid w:val="0"/>
          <w:sz w:val="26"/>
          <w:szCs w:val="26"/>
        </w:rPr>
        <w:t xml:space="preserve"> loss of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 assistance or services that </w:t>
      </w:r>
      <w:r w:rsidR="00F1699D">
        <w:rPr>
          <w:rFonts w:ascii="Bookman Old Style" w:hAnsi="Bookman Old Style" w:cs="Bookman Old Style"/>
          <w:snapToGrid w:val="0"/>
          <w:sz w:val="26"/>
          <w:szCs w:val="26"/>
        </w:rPr>
        <w:t>[decedent]</w:t>
      </w:r>
      <w:r w:rsidR="00D247B6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>
        <w:rPr>
          <w:rFonts w:ascii="Bookman Old Style" w:hAnsi="Bookman Old Style" w:cs="Bookman Old Style"/>
          <w:snapToGrid w:val="0"/>
          <w:sz w:val="26"/>
          <w:szCs w:val="26"/>
        </w:rPr>
        <w:t>reasonably coul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 xml:space="preserve">d have been expected to give to 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[statutory 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>beneficiary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>]</w:t>
      </w:r>
      <w:r w:rsidR="00486E96">
        <w:rPr>
          <w:rFonts w:ascii="Bookman Old Style" w:hAnsi="Bookman Old Style" w:cs="Bookman Old Style"/>
          <w:snapToGrid w:val="0"/>
          <w:sz w:val="26"/>
          <w:szCs w:val="26"/>
        </w:rPr>
        <w:t xml:space="preserve">, 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if 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>[decedent]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 had continued to live.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 A past loss of assistance or services refers to a loss from the date of death</w:t>
      </w:r>
      <w:r w:rsidR="00F1699D">
        <w:rPr>
          <w:rFonts w:ascii="Bookman Old Style" w:hAnsi="Bookman Old Style" w:cs="Bookman Old Style"/>
          <w:snapToGrid w:val="0"/>
          <w:sz w:val="26"/>
          <w:szCs w:val="26"/>
        </w:rPr>
        <w:t>, [insert date],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 to the date of trial</w:t>
      </w:r>
      <w:r w:rsidR="00F1699D">
        <w:rPr>
          <w:rFonts w:ascii="Bookman Old Style" w:hAnsi="Bookman Old Style" w:cs="Bookman Old Style"/>
          <w:snapToGrid w:val="0"/>
          <w:sz w:val="26"/>
          <w:szCs w:val="26"/>
        </w:rPr>
        <w:t>, [insert date]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>. A future loss of assistance or services refers to a loss from the date of trial to</w:t>
      </w:r>
      <w:r w:rsidR="00D247B6">
        <w:rPr>
          <w:rFonts w:ascii="Bookman Old Style" w:hAnsi="Bookman Old Style" w:cs="Bookman Old Style"/>
          <w:snapToGrid w:val="0"/>
          <w:sz w:val="26"/>
          <w:szCs w:val="26"/>
        </w:rPr>
        <w:t xml:space="preserve"> the end of [decedent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>]</w:t>
      </w:r>
      <w:r w:rsidR="00D247B6">
        <w:rPr>
          <w:rFonts w:ascii="Bookman Old Style" w:hAnsi="Bookman Old Style" w:cs="Bookman Old Style"/>
          <w:snapToGrid w:val="0"/>
          <w:sz w:val="26"/>
          <w:szCs w:val="26"/>
        </w:rPr>
        <w:t>’s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 xml:space="preserve"> ordinary</w:t>
      </w:r>
      <w:r w:rsidR="00AE6211">
        <w:rPr>
          <w:rFonts w:ascii="Bookman Old Style" w:hAnsi="Bookman Old Style" w:cs="Bookman Old Style"/>
          <w:snapToGrid w:val="0"/>
          <w:sz w:val="26"/>
          <w:szCs w:val="26"/>
        </w:rPr>
        <w:t xml:space="preserve"> life expectancy.</w:t>
      </w: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In fixing this amount for each individual beneficiary, you may consider, along with </w:t>
      </w:r>
      <w:r w:rsidR="00044F3F">
        <w:rPr>
          <w:rFonts w:ascii="Bookman Old Style" w:hAnsi="Bookman Old Style" w:cs="Bookman Old Style"/>
          <w:snapToGrid w:val="0"/>
          <w:sz w:val="26"/>
          <w:szCs w:val="26"/>
        </w:rPr>
        <w:t>other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 xml:space="preserve"> evidence, the willingness of [decedent]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 to provide assistance or services; the nature of the assistance or services cust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>omarily provided by [decedent]</w:t>
      </w:r>
      <w:r w:rsidR="004E572A">
        <w:rPr>
          <w:rFonts w:ascii="Bookman Old Style" w:hAnsi="Bookman Old Style" w:cs="Bookman Old Style"/>
          <w:snapToGrid w:val="0"/>
          <w:sz w:val="26"/>
          <w:szCs w:val="26"/>
        </w:rPr>
        <w:t xml:space="preserve"> in the past</w:t>
      </w:r>
      <w:r>
        <w:rPr>
          <w:rFonts w:ascii="Bookman Old Style" w:hAnsi="Bookman Old Style" w:cs="Bookman Old Style"/>
          <w:snapToGrid w:val="0"/>
          <w:sz w:val="26"/>
          <w:szCs w:val="26"/>
        </w:rPr>
        <w:t>; the assistance or services reasonabl</w:t>
      </w:r>
      <w:r w:rsidR="00872FEE">
        <w:rPr>
          <w:rFonts w:ascii="Bookman Old Style" w:hAnsi="Bookman Old Style" w:cs="Bookman Old Style"/>
          <w:snapToGrid w:val="0"/>
          <w:sz w:val="26"/>
          <w:szCs w:val="26"/>
        </w:rPr>
        <w:t>y expected to be provided by a [</w:t>
      </w:r>
      <w:r w:rsidRPr="00EA10AD">
        <w:rPr>
          <w:rFonts w:ascii="Bookman Old Style" w:hAnsi="Bookman Old Style" w:cs="Bookman Old Style"/>
          <w:snapToGrid w:val="0"/>
          <w:sz w:val="26"/>
          <w:szCs w:val="26"/>
        </w:rPr>
        <w:t>insert relationship of deceased to the beneficiar(y)(ies), e. g., husband to his wife, mother to her adult son</w:t>
      </w:r>
      <w:r w:rsidR="00872FEE" w:rsidRPr="00EA10AD">
        <w:rPr>
          <w:rFonts w:ascii="Bookman Old Style" w:hAnsi="Bookman Old Style" w:cs="Bookman Old Style"/>
          <w:snapToGrid w:val="0"/>
          <w:sz w:val="26"/>
          <w:szCs w:val="26"/>
        </w:rPr>
        <w:t>]</w:t>
      </w:r>
      <w:r w:rsidR="00EA10AD">
        <w:rPr>
          <w:rFonts w:ascii="Bookman Old Style" w:hAnsi="Bookman Old Style" w:cs="Bookman Old Style"/>
          <w:snapToGrid w:val="0"/>
          <w:sz w:val="26"/>
          <w:szCs w:val="26"/>
        </w:rPr>
        <w:t>; and how long [decedent]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 would have provided such assistance or services.</w:t>
      </w:r>
      <w:r w:rsidR="004E572A">
        <w:rPr>
          <w:rFonts w:ascii="Bookman Old Style" w:hAnsi="Bookman Old Style" w:cs="Bookman Old Style"/>
          <w:snapToGrid w:val="0"/>
          <w:sz w:val="26"/>
          <w:szCs w:val="26"/>
        </w:rPr>
        <w:t xml:space="preserve"> You make an award for assistance or s</w:t>
      </w:r>
      <w:r w:rsidR="00EA10AD">
        <w:rPr>
          <w:rFonts w:ascii="Bookman Old Style" w:hAnsi="Bookman Old Style" w:cs="Bookman Old Style"/>
          <w:snapToGrid w:val="0"/>
          <w:sz w:val="26"/>
          <w:szCs w:val="26"/>
        </w:rPr>
        <w:t>ervices even though [decedent]</w:t>
      </w:r>
      <w:r w:rsidR="004E572A">
        <w:rPr>
          <w:rFonts w:ascii="Bookman Old Style" w:hAnsi="Bookman Old Style" w:cs="Bookman Old Style"/>
          <w:snapToGrid w:val="0"/>
          <w:sz w:val="26"/>
          <w:szCs w:val="26"/>
        </w:rPr>
        <w:t xml:space="preserve"> was under no legal obligation to provide such assistance or services.</w:t>
      </w:r>
    </w:p>
    <w:p w:rsidR="00AE2DF2" w:rsidRDefault="00AE2DF2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AE2DF2" w:rsidRDefault="00AE2DF2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  <w:r>
        <w:rPr>
          <w:rFonts w:ascii="Bookman Old Style" w:hAnsi="Bookman Old Style" w:cs="Bookman Old Style"/>
          <w:snapToGrid w:val="0"/>
          <w:sz w:val="26"/>
          <w:szCs w:val="26"/>
        </w:rPr>
        <w:t>[Any award for future loss of assistance or services must be reduced to present cash value. I will explain in a few minutes the meaning or present cash value and how to reduce to present cash value.]</w:t>
      </w: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B83C5A" w:rsidRDefault="00B83C5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B83C5A" w:rsidRPr="0014035D" w:rsidRDefault="00B83C5A">
      <w:pPr>
        <w:pStyle w:val="Heading1"/>
        <w:rPr>
          <w:b/>
          <w:u w:val="none"/>
        </w:rPr>
      </w:pPr>
      <w:r w:rsidRPr="0014035D">
        <w:rPr>
          <w:b/>
          <w:u w:val="none"/>
        </w:rPr>
        <w:lastRenderedPageBreak/>
        <w:t>Use Note</w:t>
      </w:r>
    </w:p>
    <w:p w:rsidR="00B83C5A" w:rsidRPr="0014035D" w:rsidRDefault="00B83C5A">
      <w:pPr>
        <w:widowControl w:val="0"/>
        <w:jc w:val="center"/>
        <w:rPr>
          <w:rFonts w:ascii="Bookman Old Style" w:hAnsi="Bookman Old Style" w:cs="Bookman Old Style"/>
          <w:b/>
          <w:snapToGrid w:val="0"/>
          <w:sz w:val="26"/>
          <w:szCs w:val="26"/>
        </w:rPr>
      </w:pPr>
    </w:p>
    <w:p w:rsidR="00B83C5A" w:rsidRDefault="00B83C5A">
      <w:pPr>
        <w:pStyle w:val="BodyText"/>
      </w:pPr>
      <w:r>
        <w:t>This instruction should be used in a wrongful death action with surviving statutory beneficiaries where a claim is made on behalf of one or more beneficiaries for the loss of assistance or services of the deceased.</w:t>
      </w:r>
    </w:p>
    <w:p w:rsidR="0002067B" w:rsidRDefault="0002067B" w:rsidP="0002067B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</w:p>
    <w:p w:rsidR="0002067B" w:rsidRDefault="0002067B" w:rsidP="0002067B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Under AS 09.17.040(c), future economic losses must be adjusted for inflation and reduced to present value, unless the parties have agreed to apply the </w:t>
      </w:r>
      <w:r w:rsidRPr="00025621">
        <w:rPr>
          <w:rFonts w:ascii="Bookman Old Style" w:hAnsi="Bookman Old Style" w:cs="Bookman Old Style"/>
          <w:i/>
          <w:sz w:val="26"/>
          <w:szCs w:val="26"/>
        </w:rPr>
        <w:t>Beaulieu</w:t>
      </w:r>
      <w:r>
        <w:rPr>
          <w:rFonts w:ascii="Bookman Old Style" w:hAnsi="Bookman Old Style" w:cs="Bookman Old Style"/>
          <w:sz w:val="26"/>
          <w:szCs w:val="26"/>
        </w:rPr>
        <w:t xml:space="preserve"> rule. </w:t>
      </w:r>
      <w:r w:rsidR="007D0BF5">
        <w:rPr>
          <w:rFonts w:ascii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hAnsi="Bookman Old Style" w:cs="Bookman Old Style"/>
          <w:sz w:val="26"/>
          <w:szCs w:val="26"/>
        </w:rPr>
        <w:t xml:space="preserve">If the parties have not agreed to apply the </w:t>
      </w:r>
      <w:r w:rsidRPr="00025621">
        <w:rPr>
          <w:rFonts w:ascii="Bookman Old Style" w:hAnsi="Bookman Old Style" w:cs="Bookman Old Style"/>
          <w:i/>
          <w:sz w:val="26"/>
          <w:szCs w:val="26"/>
        </w:rPr>
        <w:t>Beaulieu</w:t>
      </w:r>
      <w:r>
        <w:rPr>
          <w:rFonts w:ascii="Bookman Old Style" w:hAnsi="Bookman Old Style" w:cs="Bookman Old Style"/>
          <w:sz w:val="26"/>
          <w:szCs w:val="26"/>
        </w:rPr>
        <w:t xml:space="preserve"> rule, the final bracketed paragraph should be included in the instruction, and the instruction should be followed by </w:t>
      </w:r>
      <w:r w:rsidR="00AE6211">
        <w:rPr>
          <w:rFonts w:ascii="Bookman Old Style" w:hAnsi="Bookman Old Style" w:cs="Bookman Old Style"/>
          <w:sz w:val="26"/>
          <w:szCs w:val="26"/>
        </w:rPr>
        <w:t xml:space="preserve">Instruction 20.05, which is </w:t>
      </w:r>
      <w:r>
        <w:rPr>
          <w:rFonts w:ascii="Bookman Old Style" w:hAnsi="Bookman Old Style" w:cs="Bookman Old Style"/>
          <w:sz w:val="26"/>
          <w:szCs w:val="26"/>
        </w:rPr>
        <w:t>the general damage instruction on inflation and present value.</w:t>
      </w:r>
      <w:r w:rsidR="00EF102A">
        <w:rPr>
          <w:rFonts w:ascii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hAnsi="Bookman Old Style" w:cs="Bookman Old Style"/>
          <w:sz w:val="26"/>
          <w:szCs w:val="26"/>
        </w:rPr>
        <w:t xml:space="preserve"> If the parties have agreed to apply the </w:t>
      </w:r>
      <w:r w:rsidRPr="00025621">
        <w:rPr>
          <w:rFonts w:ascii="Bookman Old Style" w:hAnsi="Bookman Old Style" w:cs="Bookman Old Style"/>
          <w:i/>
          <w:sz w:val="26"/>
          <w:szCs w:val="26"/>
        </w:rPr>
        <w:t>Beaulieu</w:t>
      </w:r>
      <w:r>
        <w:rPr>
          <w:rFonts w:ascii="Bookman Old Style" w:hAnsi="Bookman Old Style" w:cs="Bookman Old Style"/>
          <w:sz w:val="26"/>
          <w:szCs w:val="26"/>
        </w:rPr>
        <w:t xml:space="preserve"> rule, the final bracketed paragraph should be excluded.</w:t>
      </w:r>
    </w:p>
    <w:p w:rsidR="0002067B" w:rsidRPr="0002067B" w:rsidRDefault="0002067B" w:rsidP="0002067B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</w:p>
    <w:p w:rsidR="0002067B" w:rsidRDefault="0002067B">
      <w:pPr>
        <w:pStyle w:val="BodyText"/>
      </w:pPr>
    </w:p>
    <w:p w:rsidR="00B83C5A" w:rsidRPr="0014035D" w:rsidRDefault="00B83C5A">
      <w:pPr>
        <w:pStyle w:val="Heading1"/>
        <w:rPr>
          <w:b/>
          <w:u w:val="none"/>
        </w:rPr>
      </w:pPr>
      <w:r w:rsidRPr="0014035D">
        <w:rPr>
          <w:b/>
          <w:u w:val="none"/>
        </w:rPr>
        <w:t>Comment</w:t>
      </w:r>
    </w:p>
    <w:p w:rsidR="00B83C5A" w:rsidRPr="0014035D" w:rsidRDefault="00B83C5A">
      <w:pPr>
        <w:widowControl w:val="0"/>
        <w:jc w:val="center"/>
        <w:rPr>
          <w:rFonts w:ascii="Bookman Old Style" w:hAnsi="Bookman Old Style" w:cs="Bookman Old Style"/>
          <w:b/>
          <w:snapToGrid w:val="0"/>
          <w:sz w:val="26"/>
          <w:szCs w:val="26"/>
        </w:rPr>
      </w:pPr>
    </w:p>
    <w:p w:rsidR="00B83C5A" w:rsidRDefault="00B83C5A">
      <w:pPr>
        <w:pStyle w:val="BodyText"/>
      </w:pPr>
      <w:r>
        <w:t>AS 09.55.580(c) provides that the items of loss which must be considered by the jury include damages for:</w:t>
      </w:r>
    </w:p>
    <w:p w:rsidR="00B83C5A" w:rsidRDefault="00B83C5A">
      <w:pPr>
        <w:widowControl w:val="0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B83C5A" w:rsidRDefault="00B83C5A">
      <w:pPr>
        <w:pStyle w:val="BlockText"/>
        <w:keepNext/>
        <w:keepLines/>
        <w:ind w:left="1440" w:hanging="720"/>
      </w:pPr>
      <w:r>
        <w:t xml:space="preserve">(3) </w:t>
      </w:r>
      <w:r>
        <w:tab/>
        <w:t>loss of assistance or services irrespective of age or relationship of decedent to the beneficiary or beneficiaries.</w:t>
      </w:r>
    </w:p>
    <w:p w:rsidR="00B83C5A" w:rsidRDefault="00B83C5A">
      <w:pPr>
        <w:widowControl w:val="0"/>
        <w:ind w:left="720" w:right="720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02067B" w:rsidRDefault="00B83C5A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The Alaska Supreme Court let stand an award of damages for loss of services measured to the age of majority of a surviving child and to the date of death of a surviving spouse, </w:t>
      </w:r>
      <w:r w:rsidRPr="00A34670">
        <w:rPr>
          <w:rFonts w:ascii="Bookman Old Style" w:hAnsi="Bookman Old Style" w:cs="Bookman Old Style"/>
          <w:i/>
          <w:sz w:val="26"/>
          <w:szCs w:val="26"/>
        </w:rPr>
        <w:t>State v. Phillips</w:t>
      </w:r>
      <w:r>
        <w:rPr>
          <w:rFonts w:ascii="Bookman Old Style" w:hAnsi="Bookman Old Style" w:cs="Bookman Old Style"/>
          <w:sz w:val="26"/>
          <w:szCs w:val="26"/>
        </w:rPr>
        <w:t>, 470 P.2d 266, 271 (Alaska 1970), notwithstanding the “irrespective of age” phraseology of AS 09.55.580(c)(3).</w:t>
      </w:r>
    </w:p>
    <w:p w:rsidR="00EA10AD" w:rsidRDefault="00EA10AD">
      <w:pPr>
        <w:widowControl w:val="0"/>
        <w:jc w:val="both"/>
        <w:rPr>
          <w:rFonts w:ascii="Bookman Old Style" w:hAnsi="Bookman Old Style" w:cs="Bookman Old Style"/>
          <w:sz w:val="26"/>
          <w:szCs w:val="26"/>
          <w:u w:val="single"/>
        </w:rPr>
      </w:pPr>
    </w:p>
    <w:p w:rsidR="00B83C5A" w:rsidRDefault="00B83C5A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  <w:r w:rsidRPr="00A34670">
        <w:rPr>
          <w:rFonts w:ascii="Bookman Old Style" w:hAnsi="Bookman Old Style" w:cs="Bookman Old Style"/>
          <w:i/>
          <w:sz w:val="26"/>
          <w:szCs w:val="26"/>
        </w:rPr>
        <w:t>See also</w:t>
      </w:r>
      <w:r>
        <w:rPr>
          <w:rFonts w:ascii="Bookman Old Style" w:hAnsi="Bookman Old Style" w:cs="Bookman Old Style"/>
          <w:sz w:val="26"/>
          <w:szCs w:val="26"/>
        </w:rPr>
        <w:t xml:space="preserve"> Comment to Instructions 04.03 and 04.06A.</w:t>
      </w:r>
    </w:p>
    <w:p w:rsidR="00B83C5A" w:rsidRDefault="00B83C5A">
      <w:pPr>
        <w:widowControl w:val="0"/>
        <w:jc w:val="both"/>
        <w:rPr>
          <w:rFonts w:ascii="Bookman Old Style" w:hAnsi="Bookman Old Style" w:cs="Bookman Old Style"/>
          <w:sz w:val="26"/>
          <w:szCs w:val="26"/>
        </w:rPr>
      </w:pPr>
    </w:p>
    <w:sectPr w:rsidR="00B83C5A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0D" w:rsidRDefault="00EC0C0D">
      <w:r>
        <w:separator/>
      </w:r>
    </w:p>
  </w:endnote>
  <w:endnote w:type="continuationSeparator" w:id="0">
    <w:p w:rsidR="00EC0C0D" w:rsidRDefault="00EC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5A" w:rsidRPr="007D0BF5" w:rsidRDefault="00B83C5A" w:rsidP="007D0BF5">
    <w:pPr>
      <w:pStyle w:val="Footer"/>
      <w:tabs>
        <w:tab w:val="clear" w:pos="8640"/>
        <w:tab w:val="right" w:pos="9360"/>
      </w:tabs>
      <w:rPr>
        <w:rFonts w:ascii="Bookman Old Style" w:hAnsi="Bookman Old Style" w:cs="Bookman Old Style"/>
        <w:sz w:val="22"/>
        <w:szCs w:val="22"/>
      </w:rPr>
    </w:pPr>
    <w:r w:rsidRPr="007D0BF5">
      <w:rPr>
        <w:rFonts w:ascii="Bookman Old Style" w:hAnsi="Bookman Old Style" w:cs="Bookman Old Style"/>
        <w:sz w:val="22"/>
        <w:szCs w:val="22"/>
      </w:rPr>
      <w:t>Revised</w:t>
    </w:r>
    <w:r w:rsidR="00872FEE" w:rsidRPr="007D0BF5">
      <w:rPr>
        <w:rFonts w:ascii="Bookman Old Style" w:hAnsi="Bookman Old Style" w:cs="Bookman Old Style"/>
        <w:sz w:val="22"/>
        <w:szCs w:val="22"/>
      </w:rPr>
      <w:t xml:space="preserve"> 2013 </w:t>
    </w:r>
    <w:r w:rsidR="00872FEE" w:rsidRPr="007D0BF5">
      <w:rPr>
        <w:rFonts w:ascii="Bookman Old Style" w:hAnsi="Bookman Old Style" w:cs="Bookman Old Style"/>
        <w:sz w:val="22"/>
        <w:szCs w:val="22"/>
      </w:rPr>
      <w:tab/>
    </w:r>
    <w:r w:rsidR="006F2A19" w:rsidRPr="007D0BF5">
      <w:rPr>
        <w:rFonts w:ascii="Bookman Old Style" w:hAnsi="Bookman Old Style" w:cs="Bookman Old Style"/>
        <w:sz w:val="22"/>
        <w:szCs w:val="22"/>
      </w:rPr>
      <w:tab/>
    </w:r>
    <w:r w:rsidRPr="007D0BF5">
      <w:rPr>
        <w:rFonts w:ascii="Bookman Old Style" w:hAnsi="Bookman Old Style" w:cs="Bookman Old Style"/>
        <w:sz w:val="22"/>
        <w:szCs w:val="22"/>
      </w:rPr>
      <w:t xml:space="preserve">04.07 – </w:t>
    </w:r>
    <w:r w:rsidRPr="007D0BF5">
      <w:rPr>
        <w:rStyle w:val="PageNumber"/>
        <w:rFonts w:ascii="Bookman Old Style" w:hAnsi="Bookman Old Style" w:cs="Bookman Old Style"/>
        <w:sz w:val="22"/>
        <w:szCs w:val="22"/>
      </w:rPr>
      <w:fldChar w:fldCharType="begin"/>
    </w:r>
    <w:r w:rsidRPr="007D0BF5">
      <w:rPr>
        <w:rStyle w:val="PageNumber"/>
        <w:rFonts w:ascii="Bookman Old Style" w:hAnsi="Bookman Old Style" w:cs="Bookman Old Style"/>
        <w:sz w:val="22"/>
        <w:szCs w:val="22"/>
      </w:rPr>
      <w:instrText xml:space="preserve"> PAGE </w:instrText>
    </w:r>
    <w:r w:rsidRPr="007D0BF5">
      <w:rPr>
        <w:rStyle w:val="PageNumber"/>
        <w:rFonts w:ascii="Bookman Old Style" w:hAnsi="Bookman Old Style" w:cs="Bookman Old Style"/>
        <w:sz w:val="22"/>
        <w:szCs w:val="22"/>
      </w:rPr>
      <w:fldChar w:fldCharType="separate"/>
    </w:r>
    <w:r w:rsidR="00505F97">
      <w:rPr>
        <w:rStyle w:val="PageNumber"/>
        <w:rFonts w:ascii="Bookman Old Style" w:hAnsi="Bookman Old Style" w:cs="Bookman Old Style"/>
        <w:noProof/>
        <w:sz w:val="22"/>
        <w:szCs w:val="22"/>
      </w:rPr>
      <w:t>1</w:t>
    </w:r>
    <w:r w:rsidRPr="007D0BF5">
      <w:rPr>
        <w:rStyle w:val="PageNumber"/>
        <w:rFonts w:ascii="Bookman Old Style" w:hAnsi="Bookman Old Style" w:cs="Bookman Old Styl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0D" w:rsidRDefault="00EC0C0D">
      <w:r>
        <w:separator/>
      </w:r>
    </w:p>
  </w:footnote>
  <w:footnote w:type="continuationSeparator" w:id="0">
    <w:p w:rsidR="00EC0C0D" w:rsidRDefault="00EC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8"/>
    <w:rsid w:val="0002067B"/>
    <w:rsid w:val="00025621"/>
    <w:rsid w:val="00044F3F"/>
    <w:rsid w:val="0014035D"/>
    <w:rsid w:val="001A7BFB"/>
    <w:rsid w:val="001B3798"/>
    <w:rsid w:val="00320E05"/>
    <w:rsid w:val="0048373A"/>
    <w:rsid w:val="00486E96"/>
    <w:rsid w:val="004E572A"/>
    <w:rsid w:val="00505F97"/>
    <w:rsid w:val="005315DB"/>
    <w:rsid w:val="00697002"/>
    <w:rsid w:val="006D4436"/>
    <w:rsid w:val="006F2A19"/>
    <w:rsid w:val="007553E1"/>
    <w:rsid w:val="007B6CAA"/>
    <w:rsid w:val="007C052B"/>
    <w:rsid w:val="007D0BF5"/>
    <w:rsid w:val="00872FEE"/>
    <w:rsid w:val="008D100C"/>
    <w:rsid w:val="009F76E2"/>
    <w:rsid w:val="00A279A1"/>
    <w:rsid w:val="00A34670"/>
    <w:rsid w:val="00A92479"/>
    <w:rsid w:val="00A9658D"/>
    <w:rsid w:val="00AC536A"/>
    <w:rsid w:val="00AE2DF2"/>
    <w:rsid w:val="00AE6211"/>
    <w:rsid w:val="00B74878"/>
    <w:rsid w:val="00B83C5A"/>
    <w:rsid w:val="00D247B6"/>
    <w:rsid w:val="00E570DA"/>
    <w:rsid w:val="00EA10AD"/>
    <w:rsid w:val="00EC0C0D"/>
    <w:rsid w:val="00EF102A"/>
    <w:rsid w:val="00F1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Bookman Old Style" w:hAnsi="Bookman Old Style" w:cs="Bookman Old Style"/>
      <w:sz w:val="26"/>
      <w:szCs w:val="26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line="360" w:lineRule="auto"/>
      <w:ind w:left="1440" w:hanging="1440"/>
      <w:jc w:val="both"/>
    </w:pPr>
    <w:rPr>
      <w:rFonts w:ascii="Bookman Old Style" w:hAnsi="Bookman Old Style" w:cs="Bookman Old Style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widowControl w:val="0"/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pPr>
      <w:widowControl w:val="0"/>
      <w:ind w:left="720" w:right="720"/>
      <w:jc w:val="both"/>
    </w:pPr>
    <w:rPr>
      <w:rFonts w:ascii="Bookman Old Style" w:hAnsi="Bookman Old Style" w:cs="Bookman Old Style"/>
      <w:sz w:val="26"/>
      <w:szCs w:val="26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0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Bookman Old Style" w:hAnsi="Bookman Old Style" w:cs="Bookman Old Style"/>
      <w:sz w:val="26"/>
      <w:szCs w:val="26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line="360" w:lineRule="auto"/>
      <w:ind w:left="1440" w:hanging="1440"/>
      <w:jc w:val="both"/>
    </w:pPr>
    <w:rPr>
      <w:rFonts w:ascii="Bookman Old Style" w:hAnsi="Bookman Old Style" w:cs="Bookman Old Style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widowControl w:val="0"/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pPr>
      <w:widowControl w:val="0"/>
      <w:ind w:left="720" w:right="720"/>
      <w:jc w:val="both"/>
    </w:pPr>
    <w:rPr>
      <w:rFonts w:ascii="Bookman Old Style" w:hAnsi="Bookman Old Style" w:cs="Bookman Old Style"/>
      <w:sz w:val="26"/>
      <w:szCs w:val="26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0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korzechowski</dc:creator>
  <cp:lastModifiedBy>Windows User</cp:lastModifiedBy>
  <cp:revision>2</cp:revision>
  <cp:lastPrinted>2013-10-08T17:53:00Z</cp:lastPrinted>
  <dcterms:created xsi:type="dcterms:W3CDTF">2013-10-08T21:28:00Z</dcterms:created>
  <dcterms:modified xsi:type="dcterms:W3CDTF">2013-10-08T21:28:00Z</dcterms:modified>
</cp:coreProperties>
</file>