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41" w:rsidRDefault="00F31F41" w:rsidP="00EC2076">
      <w:pPr>
        <w:pStyle w:val="BodyText2"/>
        <w:spacing w:line="240" w:lineRule="auto"/>
      </w:pPr>
      <w:bookmarkStart w:id="0" w:name="_GoBack"/>
      <w:bookmarkEnd w:id="0"/>
      <w:r>
        <w:t>04.</w:t>
      </w:r>
      <w:r w:rsidR="00814CDF">
        <w:t>1</w:t>
      </w:r>
      <w:r w:rsidR="00FC1B17">
        <w:t>0C</w:t>
      </w:r>
      <w:r>
        <w:tab/>
        <w:t>WRONGFUL DEATH DAMAGES — LOSS OF PROSPECTIVE TRAINING AND EDUCATION</w:t>
      </w:r>
    </w:p>
    <w:p w:rsidR="00F31F41" w:rsidRDefault="00F31F41" w:rsidP="00EC2076">
      <w:pPr>
        <w:widowControl w:val="0"/>
        <w:spacing w:line="360" w:lineRule="auto"/>
        <w:ind w:left="1440" w:hanging="1440"/>
        <w:jc w:val="both"/>
        <w:rPr>
          <w:rFonts w:ascii="Bookman Old Style" w:hAnsi="Bookman Old Style" w:cs="Bookman Old Style"/>
          <w:b/>
          <w:bCs/>
          <w:snapToGrid w:val="0"/>
          <w:sz w:val="26"/>
          <w:szCs w:val="26"/>
        </w:rPr>
      </w:pPr>
    </w:p>
    <w:p w:rsidR="00F31F41" w:rsidRDefault="00F31F41" w:rsidP="00EC2076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F31F41" w:rsidRDefault="00F31F41" w:rsidP="00EC2076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814CDF">
        <w:rPr>
          <w:rFonts w:ascii="Bookman Old Style" w:hAnsi="Bookman Old Style" w:cs="Bookman Old Style"/>
          <w:snapToGrid w:val="0"/>
          <w:sz w:val="26"/>
          <w:szCs w:val="26"/>
        </w:rPr>
        <w:t>_____</w:t>
      </w:r>
      <w:r w:rsidR="00EF2028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item of </w:t>
      </w:r>
      <w:r w:rsidR="00F113AD">
        <w:rPr>
          <w:rFonts w:ascii="Bookman Old Style" w:hAnsi="Bookman Old Style" w:cs="Bookman Old Style"/>
          <w:snapToGrid w:val="0"/>
          <w:sz w:val="26"/>
          <w:szCs w:val="26"/>
        </w:rPr>
        <w:t>noneconomic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loss </w:t>
      </w:r>
      <w:r w:rsidR="00F113AD">
        <w:rPr>
          <w:rFonts w:ascii="Bookman Old Style" w:hAnsi="Bookman Old Style" w:cs="Bookman Old Style"/>
          <w:snapToGrid w:val="0"/>
          <w:sz w:val="26"/>
          <w:szCs w:val="26"/>
        </w:rPr>
        <w:t xml:space="preserve">claimed by the plaintiff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is </w:t>
      </w:r>
      <w:r w:rsidR="00EF2028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F113AD">
        <w:rPr>
          <w:rFonts w:ascii="Bookman Old Style" w:hAnsi="Bookman Old Style" w:cs="Bookman Old Style"/>
          <w:snapToGrid w:val="0"/>
          <w:sz w:val="26"/>
          <w:szCs w:val="26"/>
        </w:rPr>
        <w:t>loss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of prospective advice, education, and training that </w:t>
      </w:r>
      <w:r w:rsidR="00EF2028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reasonably could have been expected to give </w:t>
      </w:r>
      <w:r w:rsidR="00EF2028">
        <w:rPr>
          <w:rFonts w:ascii="Bookman Old Style" w:hAnsi="Bookman Old Style" w:cs="Bookman Old Style"/>
          <w:snapToGrid w:val="0"/>
          <w:sz w:val="26"/>
          <w:szCs w:val="26"/>
        </w:rPr>
        <w:t xml:space="preserve">to [statutory beneficiar(y)(ies)]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if </w:t>
      </w:r>
      <w:r w:rsidR="00EF2028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had continued to live.</w:t>
      </w:r>
    </w:p>
    <w:p w:rsidR="00F31F41" w:rsidRDefault="00F31F41" w:rsidP="00EC2076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F31F41" w:rsidRDefault="00F31F41" w:rsidP="00EC2076">
      <w:pPr>
        <w:widowControl w:val="0"/>
        <w:spacing w:line="36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In fixing this amount for each individual beneficiary, you may consider, along with other evidence, the ability and willingness of </w:t>
      </w:r>
      <w:r w:rsidR="00EF2028">
        <w:rPr>
          <w:rFonts w:ascii="Bookman Old Style" w:hAnsi="Bookman Old Style" w:cs="Bookman Old Style"/>
          <w:sz w:val="26"/>
          <w:szCs w:val="26"/>
        </w:rPr>
        <w:t>[decedent]</w:t>
      </w:r>
      <w:r>
        <w:rPr>
          <w:rFonts w:ascii="Bookman Old Style" w:hAnsi="Bookman Old Style" w:cs="Bookman Old Style"/>
          <w:sz w:val="26"/>
          <w:szCs w:val="26"/>
        </w:rPr>
        <w:t xml:space="preserve"> to impart such skill or knowledge to </w:t>
      </w:r>
      <w:r w:rsidR="00395D7C">
        <w:rPr>
          <w:rFonts w:ascii="Bookman Old Style" w:hAnsi="Bookman Old Style" w:cs="Bookman Old Style"/>
          <w:sz w:val="26"/>
          <w:szCs w:val="26"/>
        </w:rPr>
        <w:t>[</w:t>
      </w:r>
      <w:r>
        <w:rPr>
          <w:rFonts w:ascii="Bookman Old Style" w:hAnsi="Bookman Old Style" w:cs="Bookman Old Style"/>
          <w:sz w:val="26"/>
          <w:szCs w:val="26"/>
        </w:rPr>
        <w:t>the</w:t>
      </w:r>
      <w:r w:rsidR="00395D7C">
        <w:rPr>
          <w:rFonts w:ascii="Bookman Old Style" w:hAnsi="Bookman Old Style" w:cs="Bookman Old Style"/>
          <w:sz w:val="26"/>
          <w:szCs w:val="26"/>
        </w:rPr>
        <w:t>][</w:t>
      </w:r>
      <w:r>
        <w:rPr>
          <w:rFonts w:ascii="Bookman Old Style" w:hAnsi="Bookman Old Style" w:cs="Bookman Old Style"/>
          <w:sz w:val="26"/>
          <w:szCs w:val="26"/>
        </w:rPr>
        <w:t>each</w:t>
      </w:r>
      <w:r w:rsidR="00395D7C">
        <w:rPr>
          <w:rFonts w:ascii="Bookman Old Style" w:hAnsi="Bookman Old Style" w:cs="Bookman Old Style"/>
          <w:sz w:val="26"/>
          <w:szCs w:val="26"/>
        </w:rPr>
        <w:t>]</w:t>
      </w:r>
      <w:r>
        <w:rPr>
          <w:rFonts w:ascii="Bookman Old Style" w:hAnsi="Bookman Old Style" w:cs="Bookman Old Style"/>
          <w:sz w:val="26"/>
          <w:szCs w:val="26"/>
        </w:rPr>
        <w:t xml:space="preserve"> beneficiary.</w:t>
      </w:r>
    </w:p>
    <w:p w:rsidR="00F31F41" w:rsidRDefault="00F31F41" w:rsidP="00EC2076">
      <w:pPr>
        <w:widowControl w:val="0"/>
        <w:spacing w:line="36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p w:rsidR="00F31F41" w:rsidRDefault="00F31F41" w:rsidP="00EC2076">
      <w:pPr>
        <w:widowControl w:val="0"/>
        <w:spacing w:line="36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p w:rsidR="00F31F41" w:rsidRPr="005606A0" w:rsidRDefault="00F31F41">
      <w:pPr>
        <w:pStyle w:val="Heading1"/>
        <w:rPr>
          <w:b/>
          <w:u w:val="none"/>
        </w:rPr>
      </w:pPr>
      <w:r w:rsidRPr="005606A0">
        <w:rPr>
          <w:b/>
          <w:u w:val="none"/>
        </w:rPr>
        <w:t>Use Note</w:t>
      </w:r>
    </w:p>
    <w:p w:rsidR="00F31F41" w:rsidRDefault="00F31F41">
      <w:pPr>
        <w:widowControl w:val="0"/>
        <w:jc w:val="center"/>
        <w:rPr>
          <w:rFonts w:ascii="Bookman Old Style" w:hAnsi="Bookman Old Style" w:cs="Bookman Old Style"/>
          <w:sz w:val="26"/>
          <w:szCs w:val="26"/>
        </w:rPr>
      </w:pPr>
    </w:p>
    <w:p w:rsidR="00F31F41" w:rsidRDefault="00F31F41">
      <w:pPr>
        <w:pStyle w:val="BodyText"/>
      </w:pPr>
      <w:r>
        <w:t>This in</w:t>
      </w:r>
      <w:r w:rsidR="00D92439">
        <w:t>struction</w:t>
      </w:r>
      <w:r>
        <w:t xml:space="preserve"> should be used in wrongful death actions where a claim for loss of training and education by the deceased is asserted on behalf of one or more surviving statutory beneficiaries.</w:t>
      </w:r>
    </w:p>
    <w:p w:rsidR="00F31F41" w:rsidRDefault="00F31F41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EC2076" w:rsidRDefault="00EC2076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F31F41" w:rsidRDefault="00F31F41">
      <w:pPr>
        <w:pStyle w:val="Heading1"/>
      </w:pPr>
      <w:r w:rsidRPr="005606A0">
        <w:rPr>
          <w:b/>
          <w:u w:val="none"/>
        </w:rPr>
        <w:t>Comment</w:t>
      </w:r>
    </w:p>
    <w:p w:rsidR="00F31F41" w:rsidRDefault="00F31F41">
      <w:pPr>
        <w:widowControl w:val="0"/>
        <w:jc w:val="center"/>
        <w:rPr>
          <w:rFonts w:ascii="Bookman Old Style" w:hAnsi="Bookman Old Style" w:cs="Bookman Old Style"/>
          <w:sz w:val="26"/>
          <w:szCs w:val="26"/>
        </w:rPr>
      </w:pPr>
    </w:p>
    <w:p w:rsidR="00F31F41" w:rsidRDefault="00F31F41">
      <w:pPr>
        <w:pStyle w:val="BodyText"/>
      </w:pPr>
      <w:r>
        <w:t>Alaska’s Wrongful Death Act expressly includes loss of prospective training and education as one of the elements of damages that must be considered.  AS 09.55.580(c)(5).</w:t>
      </w:r>
    </w:p>
    <w:p w:rsidR="00F31F41" w:rsidRDefault="00F31F41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F31F41" w:rsidRDefault="00F31F41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 w:rsidRPr="00CA3655">
        <w:rPr>
          <w:rFonts w:ascii="Bookman Old Style" w:hAnsi="Bookman Old Style" w:cs="Bookman Old Style"/>
          <w:i/>
          <w:sz w:val="26"/>
          <w:szCs w:val="26"/>
        </w:rPr>
        <w:t>See also</w:t>
      </w:r>
      <w:r>
        <w:rPr>
          <w:rFonts w:ascii="Bookman Old Style" w:hAnsi="Bookman Old Style" w:cs="Bookman Old Style"/>
          <w:sz w:val="26"/>
          <w:szCs w:val="26"/>
        </w:rPr>
        <w:t xml:space="preserve"> Comment to Instructions 04.03 and 04.06A.</w:t>
      </w:r>
    </w:p>
    <w:sectPr w:rsidR="00F31F41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A5" w:rsidRDefault="00FA0DA5">
      <w:r>
        <w:separator/>
      </w:r>
    </w:p>
  </w:endnote>
  <w:endnote w:type="continuationSeparator" w:id="0">
    <w:p w:rsidR="00FA0DA5" w:rsidRDefault="00FA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41" w:rsidRPr="00EC2076" w:rsidRDefault="00F31F41" w:rsidP="00EC2076">
    <w:pPr>
      <w:pStyle w:val="Footer"/>
      <w:tabs>
        <w:tab w:val="clear" w:pos="8640"/>
        <w:tab w:val="right" w:pos="9360"/>
      </w:tabs>
      <w:rPr>
        <w:rFonts w:ascii="Bookman Old Style" w:hAnsi="Bookman Old Style" w:cs="Bookman Old Style"/>
        <w:sz w:val="22"/>
        <w:szCs w:val="22"/>
      </w:rPr>
    </w:pPr>
    <w:r w:rsidRPr="00EC2076">
      <w:rPr>
        <w:rFonts w:ascii="Bookman Old Style" w:hAnsi="Bookman Old Style" w:cs="Bookman Old Style"/>
        <w:sz w:val="22"/>
        <w:szCs w:val="22"/>
      </w:rPr>
      <w:t xml:space="preserve">Revised </w:t>
    </w:r>
    <w:r w:rsidR="00F113AD" w:rsidRPr="00EC2076">
      <w:rPr>
        <w:rFonts w:ascii="Bookman Old Style" w:hAnsi="Bookman Old Style" w:cs="Bookman Old Style"/>
        <w:sz w:val="22"/>
        <w:szCs w:val="22"/>
      </w:rPr>
      <w:t>2013</w:t>
    </w:r>
    <w:r w:rsidRPr="00EC2076">
      <w:rPr>
        <w:rFonts w:ascii="Bookman Old Style" w:hAnsi="Bookman Old Style" w:cs="Bookman Old Style"/>
        <w:sz w:val="22"/>
        <w:szCs w:val="22"/>
      </w:rPr>
      <w:tab/>
    </w:r>
    <w:r w:rsidRPr="00EC2076">
      <w:rPr>
        <w:rFonts w:ascii="Bookman Old Style" w:hAnsi="Bookman Old Style" w:cs="Bookman Old Style"/>
        <w:sz w:val="22"/>
        <w:szCs w:val="22"/>
      </w:rPr>
      <w:tab/>
      <w:t>04.</w:t>
    </w:r>
    <w:r w:rsidR="00571F08" w:rsidRPr="00EC2076">
      <w:rPr>
        <w:rFonts w:ascii="Bookman Old Style" w:hAnsi="Bookman Old Style" w:cs="Bookman Old Style"/>
        <w:sz w:val="22"/>
        <w:szCs w:val="22"/>
      </w:rPr>
      <w:t>10C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A5" w:rsidRDefault="00FA0DA5">
      <w:r>
        <w:separator/>
      </w:r>
    </w:p>
  </w:footnote>
  <w:footnote w:type="continuationSeparator" w:id="0">
    <w:p w:rsidR="00FA0DA5" w:rsidRDefault="00FA0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86"/>
    <w:rsid w:val="000300DE"/>
    <w:rsid w:val="00230D86"/>
    <w:rsid w:val="00395D7C"/>
    <w:rsid w:val="005606A0"/>
    <w:rsid w:val="00571F08"/>
    <w:rsid w:val="00582273"/>
    <w:rsid w:val="005E4970"/>
    <w:rsid w:val="006515DA"/>
    <w:rsid w:val="006A679C"/>
    <w:rsid w:val="0076251E"/>
    <w:rsid w:val="00814CDF"/>
    <w:rsid w:val="00B33ABD"/>
    <w:rsid w:val="00BD699D"/>
    <w:rsid w:val="00C14E5F"/>
    <w:rsid w:val="00CA3655"/>
    <w:rsid w:val="00D92439"/>
    <w:rsid w:val="00E07CF2"/>
    <w:rsid w:val="00EC2076"/>
    <w:rsid w:val="00EF2028"/>
    <w:rsid w:val="00F113AD"/>
    <w:rsid w:val="00F31F41"/>
    <w:rsid w:val="00FA0DA5"/>
    <w:rsid w:val="00F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line="360" w:lineRule="auto"/>
      <w:ind w:left="1440" w:hanging="1440"/>
      <w:jc w:val="both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line="360" w:lineRule="auto"/>
      <w:ind w:left="1440" w:hanging="1440"/>
      <w:jc w:val="both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korzechowski</dc:creator>
  <cp:lastModifiedBy>Windows User</cp:lastModifiedBy>
  <cp:revision>2</cp:revision>
  <cp:lastPrinted>2013-10-08T17:56:00Z</cp:lastPrinted>
  <dcterms:created xsi:type="dcterms:W3CDTF">2013-10-08T21:48:00Z</dcterms:created>
  <dcterms:modified xsi:type="dcterms:W3CDTF">2013-10-08T21:48:00Z</dcterms:modified>
</cp:coreProperties>
</file>