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91" w:rsidRPr="00006559" w:rsidRDefault="00176991" w:rsidP="0059088A">
      <w:pPr>
        <w:tabs>
          <w:tab w:val="left" w:pos="720"/>
          <w:tab w:val="left" w:pos="1440"/>
        </w:tabs>
        <w:spacing w:line="360" w:lineRule="auto"/>
        <w:jc w:val="both"/>
        <w:rPr>
          <w:rFonts w:ascii="Bookman Old Style" w:hAnsi="Bookman Old Style" w:cs="Bookman Old Style"/>
          <w:b/>
          <w:bCs/>
          <w:snapToGrid w:val="0"/>
          <w:sz w:val="26"/>
          <w:szCs w:val="26"/>
        </w:rPr>
      </w:pPr>
      <w:bookmarkStart w:id="0" w:name="_GoBack"/>
      <w:bookmarkEnd w:id="0"/>
      <w:r w:rsidRPr="00006559">
        <w:rPr>
          <w:rFonts w:ascii="Bookman Old Style" w:hAnsi="Bookman Old Style" w:cs="Bookman Old Style"/>
          <w:b/>
          <w:bCs/>
          <w:snapToGrid w:val="0"/>
          <w:sz w:val="26"/>
          <w:szCs w:val="26"/>
        </w:rPr>
        <w:t>04.</w:t>
      </w:r>
      <w:r w:rsidR="00776DF4">
        <w:rPr>
          <w:rFonts w:ascii="Bookman Old Style" w:hAnsi="Bookman Old Style" w:cs="Bookman Old Style"/>
          <w:b/>
          <w:bCs/>
          <w:snapToGrid w:val="0"/>
          <w:sz w:val="26"/>
          <w:szCs w:val="26"/>
        </w:rPr>
        <w:t>11</w:t>
      </w:r>
      <w:r w:rsidRPr="00006559">
        <w:rPr>
          <w:rFonts w:ascii="Bookman Old Style" w:hAnsi="Bookman Old Style" w:cs="Bookman Old Style"/>
          <w:b/>
          <w:bCs/>
          <w:snapToGrid w:val="0"/>
          <w:sz w:val="26"/>
          <w:szCs w:val="26"/>
        </w:rPr>
        <w:tab/>
        <w:t>WRONGFUL DEATH DAMAGES — RECOVERY BY ESTATE</w:t>
      </w:r>
    </w:p>
    <w:p w:rsidR="00176991" w:rsidRDefault="00176991" w:rsidP="0059088A">
      <w:pPr>
        <w:tabs>
          <w:tab w:val="left" w:pos="720"/>
          <w:tab w:val="left" w:pos="1440"/>
        </w:tabs>
        <w:spacing w:line="360" w:lineRule="auto"/>
        <w:jc w:val="both"/>
        <w:rPr>
          <w:rFonts w:ascii="Bookman Old Style" w:hAnsi="Bookman Old Style" w:cs="Bookman Old Style"/>
          <w:snapToGrid w:val="0"/>
          <w:sz w:val="26"/>
          <w:szCs w:val="26"/>
        </w:rPr>
      </w:pPr>
    </w:p>
    <w:p w:rsidR="00DC6935" w:rsidRPr="00006559" w:rsidRDefault="00DC6935" w:rsidP="0059088A">
      <w:pPr>
        <w:tabs>
          <w:tab w:val="left" w:pos="720"/>
          <w:tab w:val="left" w:pos="1440"/>
        </w:tabs>
        <w:spacing w:line="360" w:lineRule="auto"/>
        <w:jc w:val="both"/>
        <w:rPr>
          <w:rFonts w:ascii="Bookman Old Style" w:hAnsi="Bookman Old Style" w:cs="Bookman Old Style"/>
          <w:snapToGrid w:val="0"/>
          <w:sz w:val="26"/>
          <w:szCs w:val="26"/>
        </w:rPr>
      </w:pPr>
    </w:p>
    <w:p w:rsidR="00176991" w:rsidRPr="00006559" w:rsidRDefault="00176991" w:rsidP="0059088A">
      <w:pPr>
        <w:tabs>
          <w:tab w:val="left" w:pos="720"/>
          <w:tab w:val="left" w:pos="1440"/>
        </w:tabs>
        <w:spacing w:line="360" w:lineRule="auto"/>
        <w:jc w:val="both"/>
        <w:rPr>
          <w:rFonts w:ascii="Bookman Old Style" w:hAnsi="Bookman Old Style" w:cs="Bookman Old Style"/>
          <w:snapToGrid w:val="0"/>
          <w:sz w:val="26"/>
          <w:szCs w:val="26"/>
        </w:rPr>
      </w:pPr>
      <w:r w:rsidRPr="00006559">
        <w:rPr>
          <w:rFonts w:ascii="Bookman Old Style" w:hAnsi="Bookman Old Style" w:cs="Bookman Old Style"/>
          <w:snapToGrid w:val="0"/>
          <w:sz w:val="26"/>
          <w:szCs w:val="26"/>
        </w:rPr>
        <w:t xml:space="preserve">If you decide the defendant is legally responsible for the death of </w:t>
      </w:r>
      <w:r w:rsidR="00A84780">
        <w:rPr>
          <w:rFonts w:ascii="Bookman Old Style" w:hAnsi="Bookman Old Style" w:cs="Bookman Old Style"/>
          <w:snapToGrid w:val="0"/>
          <w:sz w:val="26"/>
          <w:szCs w:val="26"/>
        </w:rPr>
        <w:t>[decedent</w:t>
      </w:r>
      <w:r w:rsidR="000A49DD">
        <w:rPr>
          <w:rFonts w:ascii="Bookman Old Style" w:hAnsi="Bookman Old Style" w:cs="Bookman Old Style"/>
          <w:snapToGrid w:val="0"/>
          <w:sz w:val="26"/>
          <w:szCs w:val="26"/>
        </w:rPr>
        <w:t>]</w:t>
      </w:r>
      <w:r w:rsidRPr="00006559">
        <w:rPr>
          <w:rFonts w:ascii="Bookman Old Style" w:hAnsi="Bookman Old Style" w:cs="Bookman Old Style"/>
          <w:snapToGrid w:val="0"/>
          <w:sz w:val="26"/>
          <w:szCs w:val="26"/>
        </w:rPr>
        <w:t xml:space="preserve">, you must decide what amount of money will fairly and justly compensate </w:t>
      </w:r>
      <w:r w:rsidR="00A84780">
        <w:rPr>
          <w:rFonts w:ascii="Bookman Old Style" w:hAnsi="Bookman Old Style" w:cs="Bookman Old Style"/>
          <w:snapToGrid w:val="0"/>
          <w:sz w:val="26"/>
          <w:szCs w:val="26"/>
        </w:rPr>
        <w:t>[his][</w:t>
      </w:r>
      <w:r w:rsidR="000A49DD">
        <w:rPr>
          <w:rFonts w:ascii="Bookman Old Style" w:hAnsi="Bookman Old Style" w:cs="Bookman Old Style"/>
          <w:snapToGrid w:val="0"/>
          <w:sz w:val="26"/>
          <w:szCs w:val="26"/>
        </w:rPr>
        <w:t>her]</w:t>
      </w:r>
      <w:r w:rsidRPr="00006559">
        <w:rPr>
          <w:rFonts w:ascii="Bookman Old Style" w:hAnsi="Bookman Old Style" w:cs="Bookman Old Style"/>
          <w:snapToGrid w:val="0"/>
          <w:sz w:val="26"/>
          <w:szCs w:val="26"/>
        </w:rPr>
        <w:t xml:space="preserve"> estate.  This compensation is measured by the </w:t>
      </w:r>
      <w:r w:rsidR="000A49DD">
        <w:rPr>
          <w:rFonts w:ascii="Bookman Old Style" w:hAnsi="Bookman Old Style" w:cs="Bookman Old Style"/>
          <w:snapToGrid w:val="0"/>
          <w:sz w:val="26"/>
          <w:szCs w:val="26"/>
        </w:rPr>
        <w:t>financial</w:t>
      </w:r>
      <w:r w:rsidRPr="00006559">
        <w:rPr>
          <w:rFonts w:ascii="Bookman Old Style" w:hAnsi="Bookman Old Style" w:cs="Bookman Old Style"/>
          <w:snapToGrid w:val="0"/>
          <w:sz w:val="26"/>
          <w:szCs w:val="26"/>
        </w:rPr>
        <w:t xml:space="preserve"> loss, if any, to the estate caused by </w:t>
      </w:r>
      <w:r w:rsidR="00A84780">
        <w:rPr>
          <w:rFonts w:ascii="Bookman Old Style" w:hAnsi="Bookman Old Style" w:cs="Bookman Old Style"/>
          <w:snapToGrid w:val="0"/>
          <w:sz w:val="26"/>
          <w:szCs w:val="26"/>
        </w:rPr>
        <w:t>[decedent</w:t>
      </w:r>
      <w:r w:rsidR="000A49DD">
        <w:rPr>
          <w:rFonts w:ascii="Bookman Old Style" w:hAnsi="Bookman Old Style" w:cs="Bookman Old Style"/>
          <w:snapToGrid w:val="0"/>
          <w:sz w:val="26"/>
          <w:szCs w:val="26"/>
        </w:rPr>
        <w:t>]’s</w:t>
      </w:r>
      <w:r w:rsidRPr="00006559">
        <w:rPr>
          <w:rFonts w:ascii="Bookman Old Style" w:hAnsi="Bookman Old Style" w:cs="Bookman Old Style"/>
          <w:snapToGrid w:val="0"/>
          <w:sz w:val="26"/>
          <w:szCs w:val="26"/>
        </w:rPr>
        <w:t xml:space="preserve"> premature death.  </w:t>
      </w:r>
      <w:r w:rsidR="000A49DD">
        <w:rPr>
          <w:rFonts w:ascii="Bookman Old Style" w:hAnsi="Bookman Old Style" w:cs="Bookman Old Style"/>
          <w:snapToGrid w:val="0"/>
          <w:sz w:val="26"/>
          <w:szCs w:val="26"/>
        </w:rPr>
        <w:t>To c</w:t>
      </w:r>
      <w:r w:rsidRPr="00006559">
        <w:rPr>
          <w:rFonts w:ascii="Bookman Old Style" w:hAnsi="Bookman Old Style" w:cs="Bookman Old Style"/>
          <w:snapToGrid w:val="0"/>
          <w:sz w:val="26"/>
          <w:szCs w:val="26"/>
        </w:rPr>
        <w:t>ompute this amount</w:t>
      </w:r>
      <w:r w:rsidR="000A49DD">
        <w:rPr>
          <w:rFonts w:ascii="Bookman Old Style" w:hAnsi="Bookman Old Style" w:cs="Bookman Old Style"/>
          <w:snapToGrid w:val="0"/>
          <w:sz w:val="26"/>
          <w:szCs w:val="26"/>
        </w:rPr>
        <w:t>,</w:t>
      </w:r>
      <w:r w:rsidRPr="00006559">
        <w:rPr>
          <w:rFonts w:ascii="Bookman Old Style" w:hAnsi="Bookman Old Style" w:cs="Bookman Old Style"/>
          <w:snapToGrid w:val="0"/>
          <w:sz w:val="26"/>
          <w:szCs w:val="26"/>
        </w:rPr>
        <w:t xml:space="preserve"> </w:t>
      </w:r>
      <w:r w:rsidR="000A49DD">
        <w:rPr>
          <w:rFonts w:ascii="Bookman Old Style" w:hAnsi="Bookman Old Style" w:cs="Bookman Old Style"/>
          <w:snapToGrid w:val="0"/>
          <w:sz w:val="26"/>
          <w:szCs w:val="26"/>
        </w:rPr>
        <w:t>you must complete the following steps</w:t>
      </w:r>
      <w:r w:rsidRPr="00006559">
        <w:rPr>
          <w:rFonts w:ascii="Bookman Old Style" w:hAnsi="Bookman Old Style" w:cs="Bookman Old Style"/>
          <w:snapToGrid w:val="0"/>
          <w:sz w:val="26"/>
          <w:szCs w:val="26"/>
        </w:rPr>
        <w:t>:</w:t>
      </w:r>
    </w:p>
    <w:p w:rsidR="00176991" w:rsidRPr="00006559" w:rsidRDefault="00176991" w:rsidP="0059088A">
      <w:pPr>
        <w:tabs>
          <w:tab w:val="left" w:pos="720"/>
          <w:tab w:val="left" w:pos="1440"/>
        </w:tabs>
        <w:spacing w:line="360" w:lineRule="auto"/>
        <w:jc w:val="both"/>
        <w:rPr>
          <w:rFonts w:ascii="Bookman Old Style" w:hAnsi="Bookman Old Style" w:cs="Bookman Old Style"/>
          <w:snapToGrid w:val="0"/>
          <w:sz w:val="26"/>
          <w:szCs w:val="26"/>
        </w:rPr>
      </w:pPr>
    </w:p>
    <w:p w:rsidR="00905CDA" w:rsidRPr="00006559" w:rsidRDefault="00905CDA" w:rsidP="0059088A">
      <w:pPr>
        <w:autoSpaceDE/>
        <w:autoSpaceDN/>
        <w:spacing w:line="360" w:lineRule="auto"/>
        <w:ind w:left="720" w:hanging="720"/>
        <w:jc w:val="both"/>
        <w:rPr>
          <w:rFonts w:ascii="Bookman Old Style" w:hAnsi="Bookman Old Style"/>
          <w:sz w:val="26"/>
          <w:szCs w:val="26"/>
        </w:rPr>
      </w:pPr>
      <w:r w:rsidRPr="00006559">
        <w:rPr>
          <w:rFonts w:ascii="Bookman Old Style" w:hAnsi="Bookman Old Style"/>
          <w:sz w:val="26"/>
          <w:szCs w:val="26"/>
        </w:rPr>
        <w:t xml:space="preserve">(1)  </w:t>
      </w:r>
      <w:r w:rsidR="00006559" w:rsidRPr="00006559">
        <w:rPr>
          <w:rFonts w:ascii="Bookman Old Style" w:hAnsi="Bookman Old Style"/>
          <w:sz w:val="26"/>
          <w:szCs w:val="26"/>
        </w:rPr>
        <w:tab/>
      </w:r>
      <w:r w:rsidRPr="00006559">
        <w:rPr>
          <w:rFonts w:ascii="Bookman Old Style" w:hAnsi="Bookman Old Style"/>
          <w:sz w:val="26"/>
          <w:szCs w:val="26"/>
        </w:rPr>
        <w:t>Determine t</w:t>
      </w:r>
      <w:r w:rsidR="00A84780">
        <w:rPr>
          <w:rFonts w:ascii="Bookman Old Style" w:hAnsi="Bookman Old Style"/>
          <w:sz w:val="26"/>
          <w:szCs w:val="26"/>
        </w:rPr>
        <w:t>he amount that [decedent</w:t>
      </w:r>
      <w:r w:rsidRPr="00006559">
        <w:rPr>
          <w:rFonts w:ascii="Bookman Old Style" w:hAnsi="Bookman Old Style"/>
          <w:sz w:val="26"/>
          <w:szCs w:val="26"/>
        </w:rPr>
        <w:t>] would have ea</w:t>
      </w:r>
      <w:r w:rsidR="00A84780">
        <w:rPr>
          <w:rFonts w:ascii="Bookman Old Style" w:hAnsi="Bookman Old Style"/>
          <w:sz w:val="26"/>
          <w:szCs w:val="26"/>
        </w:rPr>
        <w:t xml:space="preserve">rned during the period between </w:t>
      </w:r>
      <w:r w:rsidR="000A49DD">
        <w:rPr>
          <w:rFonts w:ascii="Bookman Old Style" w:hAnsi="Bookman Old Style"/>
          <w:sz w:val="26"/>
          <w:szCs w:val="26"/>
        </w:rPr>
        <w:t xml:space="preserve">the </w:t>
      </w:r>
      <w:r w:rsidRPr="00006559">
        <w:rPr>
          <w:rFonts w:ascii="Bookman Old Style" w:hAnsi="Bookman Old Style"/>
          <w:sz w:val="26"/>
          <w:szCs w:val="26"/>
        </w:rPr>
        <w:t>date of death</w:t>
      </w:r>
      <w:r w:rsidR="000A49DD">
        <w:rPr>
          <w:rFonts w:ascii="Bookman Old Style" w:hAnsi="Bookman Old Style"/>
          <w:sz w:val="26"/>
          <w:szCs w:val="26"/>
        </w:rPr>
        <w:t>,</w:t>
      </w:r>
      <w:r w:rsidRPr="00006559">
        <w:rPr>
          <w:rFonts w:ascii="Bookman Old Style" w:hAnsi="Bookman Old Style"/>
          <w:sz w:val="26"/>
          <w:szCs w:val="26"/>
        </w:rPr>
        <w:t xml:space="preserve"> </w:t>
      </w:r>
      <w:r w:rsidR="00A84780">
        <w:rPr>
          <w:rFonts w:ascii="Bookman Old Style" w:hAnsi="Bookman Old Style"/>
          <w:sz w:val="26"/>
          <w:szCs w:val="26"/>
        </w:rPr>
        <w:t>[insert date], and</w:t>
      </w:r>
      <w:r w:rsidR="000A49DD">
        <w:rPr>
          <w:rFonts w:ascii="Bookman Old Style" w:hAnsi="Bookman Old Style"/>
          <w:sz w:val="26"/>
          <w:szCs w:val="26"/>
        </w:rPr>
        <w:t xml:space="preserve"> the </w:t>
      </w:r>
      <w:r w:rsidRPr="00006559">
        <w:rPr>
          <w:rFonts w:ascii="Bookman Old Style" w:hAnsi="Bookman Old Style"/>
          <w:sz w:val="26"/>
          <w:szCs w:val="26"/>
        </w:rPr>
        <w:t>date of trial</w:t>
      </w:r>
      <w:r w:rsidR="00A84780">
        <w:rPr>
          <w:rFonts w:ascii="Bookman Old Style" w:hAnsi="Bookman Old Style"/>
          <w:sz w:val="26"/>
          <w:szCs w:val="26"/>
        </w:rPr>
        <w:t>, [insert date]</w:t>
      </w:r>
      <w:r w:rsidRPr="00006559">
        <w:rPr>
          <w:rFonts w:ascii="Bookman Old Style" w:hAnsi="Bookman Old Style"/>
          <w:sz w:val="26"/>
          <w:szCs w:val="26"/>
        </w:rPr>
        <w:t xml:space="preserve">. </w:t>
      </w:r>
      <w:r w:rsidR="00DC6935">
        <w:rPr>
          <w:rFonts w:ascii="Bookman Old Style" w:hAnsi="Bookman Old Style"/>
          <w:sz w:val="26"/>
          <w:szCs w:val="26"/>
        </w:rPr>
        <w:t xml:space="preserve"> </w:t>
      </w:r>
      <w:r w:rsidRPr="00006559">
        <w:rPr>
          <w:rFonts w:ascii="Bookman Old Style" w:hAnsi="Bookman Old Style"/>
          <w:sz w:val="26"/>
          <w:szCs w:val="26"/>
        </w:rPr>
        <w:t>From this amount, you must s</w:t>
      </w:r>
      <w:r w:rsidR="00A84780">
        <w:rPr>
          <w:rFonts w:ascii="Bookman Old Style" w:hAnsi="Bookman Old Style"/>
          <w:sz w:val="26"/>
          <w:szCs w:val="26"/>
        </w:rPr>
        <w:t>ubtract the money that [decedent</w:t>
      </w:r>
      <w:r w:rsidRPr="00006559">
        <w:rPr>
          <w:rFonts w:ascii="Bookman Old Style" w:hAnsi="Bookman Old Style"/>
          <w:sz w:val="26"/>
          <w:szCs w:val="26"/>
        </w:rPr>
        <w:t xml:space="preserve">] would have spent during the same time period for all purposes, including income taxes. </w:t>
      </w:r>
      <w:r w:rsidR="00006559">
        <w:rPr>
          <w:rFonts w:ascii="Bookman Old Style" w:hAnsi="Bookman Old Style"/>
          <w:sz w:val="26"/>
          <w:szCs w:val="26"/>
        </w:rPr>
        <w:t xml:space="preserve"> This is A</w:t>
      </w:r>
      <w:r w:rsidRPr="00006559">
        <w:rPr>
          <w:rFonts w:ascii="Bookman Old Style" w:hAnsi="Bookman Old Style"/>
          <w:sz w:val="26"/>
          <w:szCs w:val="26"/>
        </w:rPr>
        <w:t>mount 1.</w:t>
      </w:r>
    </w:p>
    <w:p w:rsidR="00905CDA" w:rsidRPr="00006559" w:rsidRDefault="00905CDA" w:rsidP="0059088A">
      <w:pPr>
        <w:autoSpaceDE/>
        <w:autoSpaceDN/>
        <w:spacing w:line="360" w:lineRule="auto"/>
        <w:ind w:left="720" w:hanging="720"/>
        <w:jc w:val="both"/>
        <w:rPr>
          <w:rFonts w:ascii="Bookman Old Style" w:hAnsi="Bookman Old Style"/>
          <w:sz w:val="26"/>
          <w:szCs w:val="26"/>
        </w:rPr>
      </w:pPr>
      <w:r w:rsidRPr="00006559">
        <w:rPr>
          <w:rFonts w:ascii="Bookman Old Style" w:hAnsi="Bookman Old Style"/>
          <w:sz w:val="26"/>
          <w:szCs w:val="26"/>
        </w:rPr>
        <w:t>(2)</w:t>
      </w:r>
      <w:r w:rsidRPr="00006559">
        <w:rPr>
          <w:rFonts w:ascii="Bookman Old Style" w:hAnsi="Bookman Old Style"/>
          <w:sz w:val="26"/>
          <w:szCs w:val="26"/>
        </w:rPr>
        <w:tab/>
        <w:t>Determine the</w:t>
      </w:r>
      <w:r w:rsidR="00A84780">
        <w:rPr>
          <w:rFonts w:ascii="Bookman Old Style" w:hAnsi="Bookman Old Style"/>
          <w:sz w:val="26"/>
          <w:szCs w:val="26"/>
        </w:rPr>
        <w:t xml:space="preserve"> amount that [name of decedent</w:t>
      </w:r>
      <w:r w:rsidRPr="00006559">
        <w:rPr>
          <w:rFonts w:ascii="Bookman Old Style" w:hAnsi="Bookman Old Style"/>
          <w:sz w:val="26"/>
          <w:szCs w:val="26"/>
        </w:rPr>
        <w:t>] would have ea</w:t>
      </w:r>
      <w:r w:rsidR="00A84780">
        <w:rPr>
          <w:rFonts w:ascii="Bookman Old Style" w:hAnsi="Bookman Old Style"/>
          <w:sz w:val="26"/>
          <w:szCs w:val="26"/>
        </w:rPr>
        <w:t xml:space="preserve">rned during the period between </w:t>
      </w:r>
      <w:r w:rsidR="000A49DD">
        <w:rPr>
          <w:rFonts w:ascii="Bookman Old Style" w:hAnsi="Bookman Old Style"/>
          <w:sz w:val="26"/>
          <w:szCs w:val="26"/>
        </w:rPr>
        <w:t xml:space="preserve">the </w:t>
      </w:r>
      <w:r w:rsidRPr="00006559">
        <w:rPr>
          <w:rFonts w:ascii="Bookman Old Style" w:hAnsi="Bookman Old Style"/>
          <w:sz w:val="26"/>
          <w:szCs w:val="26"/>
        </w:rPr>
        <w:t>date of trial</w:t>
      </w:r>
      <w:r w:rsidR="000A49DD">
        <w:rPr>
          <w:rFonts w:ascii="Bookman Old Style" w:hAnsi="Bookman Old Style"/>
          <w:sz w:val="26"/>
          <w:szCs w:val="26"/>
        </w:rPr>
        <w:t>,</w:t>
      </w:r>
      <w:r w:rsidRPr="00006559">
        <w:rPr>
          <w:rFonts w:ascii="Bookman Old Style" w:hAnsi="Bookman Old Style"/>
          <w:sz w:val="26"/>
          <w:szCs w:val="26"/>
        </w:rPr>
        <w:t xml:space="preserve"> </w:t>
      </w:r>
      <w:r w:rsidR="00A84780">
        <w:rPr>
          <w:rFonts w:ascii="Bookman Old Style" w:hAnsi="Bookman Old Style"/>
          <w:sz w:val="26"/>
          <w:szCs w:val="26"/>
        </w:rPr>
        <w:t>[insert date], and the end of [his][</w:t>
      </w:r>
      <w:r w:rsidRPr="00006559">
        <w:rPr>
          <w:rFonts w:ascii="Bookman Old Style" w:hAnsi="Bookman Old Style"/>
          <w:sz w:val="26"/>
          <w:szCs w:val="26"/>
        </w:rPr>
        <w:t>her] ordinary life expectancy.  From this amount, you must s</w:t>
      </w:r>
      <w:r w:rsidR="00A84780">
        <w:rPr>
          <w:rFonts w:ascii="Bookman Old Style" w:hAnsi="Bookman Old Style"/>
          <w:sz w:val="26"/>
          <w:szCs w:val="26"/>
        </w:rPr>
        <w:t>ubtract the money that [decedent</w:t>
      </w:r>
      <w:r w:rsidRPr="00006559">
        <w:rPr>
          <w:rFonts w:ascii="Bookman Old Style" w:hAnsi="Bookman Old Style"/>
          <w:sz w:val="26"/>
          <w:szCs w:val="26"/>
        </w:rPr>
        <w:t xml:space="preserve">] would have spent during the same time period for all purposes, except income taxes.  </w:t>
      </w:r>
      <w:r w:rsidR="00006559">
        <w:rPr>
          <w:rFonts w:ascii="Bookman Old Style" w:hAnsi="Bookman Old Style"/>
          <w:sz w:val="26"/>
          <w:szCs w:val="26"/>
        </w:rPr>
        <w:t>This is A</w:t>
      </w:r>
      <w:r w:rsidRPr="00006559">
        <w:rPr>
          <w:rFonts w:ascii="Bookman Old Style" w:hAnsi="Bookman Old Style"/>
          <w:sz w:val="26"/>
          <w:szCs w:val="26"/>
        </w:rPr>
        <w:t xml:space="preserve">mount 2. </w:t>
      </w:r>
    </w:p>
    <w:p w:rsidR="00905CDA" w:rsidRPr="00006559" w:rsidRDefault="00905CDA" w:rsidP="0059088A">
      <w:pPr>
        <w:autoSpaceDE/>
        <w:autoSpaceDN/>
        <w:spacing w:line="360" w:lineRule="auto"/>
        <w:ind w:left="720" w:hanging="720"/>
        <w:jc w:val="both"/>
        <w:rPr>
          <w:rFonts w:ascii="Bookman Old Style" w:hAnsi="Bookman Old Style"/>
          <w:sz w:val="26"/>
          <w:szCs w:val="26"/>
        </w:rPr>
      </w:pPr>
      <w:r w:rsidRPr="00006559">
        <w:rPr>
          <w:rFonts w:ascii="Bookman Old Style" w:hAnsi="Bookman Old Style"/>
          <w:sz w:val="26"/>
          <w:szCs w:val="26"/>
        </w:rPr>
        <w:t xml:space="preserve">(3) </w:t>
      </w:r>
      <w:r w:rsidR="00006559" w:rsidRPr="00006559">
        <w:rPr>
          <w:rFonts w:ascii="Bookman Old Style" w:hAnsi="Bookman Old Style"/>
          <w:sz w:val="26"/>
          <w:szCs w:val="26"/>
        </w:rPr>
        <w:tab/>
      </w:r>
      <w:r w:rsidRPr="00006559">
        <w:rPr>
          <w:rFonts w:ascii="Bookman Old Style" w:hAnsi="Bookman Old Style"/>
          <w:sz w:val="26"/>
          <w:szCs w:val="26"/>
        </w:rPr>
        <w:t>The sum</w:t>
      </w:r>
      <w:r w:rsidR="00006559">
        <w:rPr>
          <w:rFonts w:ascii="Bookman Old Style" w:hAnsi="Bookman Old Style"/>
          <w:sz w:val="26"/>
          <w:szCs w:val="26"/>
        </w:rPr>
        <w:t xml:space="preserve"> of A</w:t>
      </w:r>
      <w:r w:rsidRPr="00006559">
        <w:rPr>
          <w:rFonts w:ascii="Bookman Old Style" w:hAnsi="Bookman Old Style"/>
          <w:sz w:val="26"/>
          <w:szCs w:val="26"/>
        </w:rPr>
        <w:t xml:space="preserve">mount 1 and </w:t>
      </w:r>
      <w:r w:rsidR="00006559">
        <w:rPr>
          <w:rFonts w:ascii="Bookman Old Style" w:hAnsi="Bookman Old Style"/>
          <w:sz w:val="26"/>
          <w:szCs w:val="26"/>
        </w:rPr>
        <w:t>A</w:t>
      </w:r>
      <w:r w:rsidR="00A84780">
        <w:rPr>
          <w:rFonts w:ascii="Bookman Old Style" w:hAnsi="Bookman Old Style"/>
          <w:sz w:val="26"/>
          <w:szCs w:val="26"/>
        </w:rPr>
        <w:t>mount 2 is the amount [</w:t>
      </w:r>
      <w:r w:rsidRPr="00006559">
        <w:rPr>
          <w:rFonts w:ascii="Bookman Old Style" w:hAnsi="Bookman Old Style"/>
          <w:sz w:val="26"/>
          <w:szCs w:val="26"/>
        </w:rPr>
        <w:t>decedent]</w:t>
      </w:r>
      <w:r w:rsidR="00A84780">
        <w:rPr>
          <w:rFonts w:ascii="Bookman Old Style" w:hAnsi="Bookman Old Style"/>
          <w:sz w:val="26"/>
          <w:szCs w:val="26"/>
        </w:rPr>
        <w:t xml:space="preserve"> would have accumulated in [his][her] estate if [he][</w:t>
      </w:r>
      <w:r w:rsidRPr="00006559">
        <w:rPr>
          <w:rFonts w:ascii="Bookman Old Style" w:hAnsi="Bookman Old Style"/>
          <w:sz w:val="26"/>
          <w:szCs w:val="26"/>
        </w:rPr>
        <w:t>sh</w:t>
      </w:r>
      <w:r w:rsidR="00A84780">
        <w:rPr>
          <w:rFonts w:ascii="Bookman Old Style" w:hAnsi="Bookman Old Style"/>
          <w:sz w:val="26"/>
          <w:szCs w:val="26"/>
        </w:rPr>
        <w:t>e] had lived to the end of [his][</w:t>
      </w:r>
      <w:r w:rsidRPr="00006559">
        <w:rPr>
          <w:rFonts w:ascii="Bookman Old Style" w:hAnsi="Bookman Old Style"/>
          <w:sz w:val="26"/>
          <w:szCs w:val="26"/>
        </w:rPr>
        <w:t xml:space="preserve">her] ordinary life expectancy. </w:t>
      </w:r>
    </w:p>
    <w:p w:rsidR="00114A3C" w:rsidRDefault="00114A3C" w:rsidP="0059088A">
      <w:pPr>
        <w:autoSpaceDE/>
        <w:autoSpaceDN/>
        <w:spacing w:line="360" w:lineRule="auto"/>
        <w:jc w:val="both"/>
        <w:rPr>
          <w:rFonts w:ascii="Bookman Old Style" w:hAnsi="Bookman Old Style"/>
          <w:sz w:val="26"/>
          <w:szCs w:val="26"/>
        </w:rPr>
      </w:pPr>
    </w:p>
    <w:p w:rsidR="00905CDA" w:rsidRPr="00006559" w:rsidRDefault="00006559" w:rsidP="0059088A">
      <w:pPr>
        <w:autoSpaceDE/>
        <w:autoSpaceDN/>
        <w:spacing w:line="360" w:lineRule="auto"/>
        <w:jc w:val="both"/>
        <w:rPr>
          <w:rFonts w:ascii="Bookman Old Style" w:hAnsi="Bookman Old Style"/>
          <w:sz w:val="26"/>
          <w:szCs w:val="26"/>
        </w:rPr>
      </w:pPr>
      <w:r>
        <w:rPr>
          <w:rFonts w:ascii="Bookman Old Style" w:hAnsi="Bookman Old Style"/>
          <w:sz w:val="26"/>
          <w:szCs w:val="26"/>
        </w:rPr>
        <w:t>In determining Amount 1 and A</w:t>
      </w:r>
      <w:r w:rsidR="00905CDA" w:rsidRPr="00006559">
        <w:rPr>
          <w:rFonts w:ascii="Bookman Old Style" w:hAnsi="Bookman Old Style"/>
          <w:sz w:val="26"/>
          <w:szCs w:val="26"/>
        </w:rPr>
        <w:t>mount 2 you may consider, alon</w:t>
      </w:r>
      <w:r w:rsidR="00A84780">
        <w:rPr>
          <w:rFonts w:ascii="Bookman Old Style" w:hAnsi="Bookman Old Style"/>
          <w:sz w:val="26"/>
          <w:szCs w:val="26"/>
        </w:rPr>
        <w:t>g with other evidence, [decedent</w:t>
      </w:r>
      <w:r w:rsidR="00905CDA" w:rsidRPr="00006559">
        <w:rPr>
          <w:rFonts w:ascii="Bookman Old Style" w:hAnsi="Bookman Old Style"/>
          <w:sz w:val="26"/>
          <w:szCs w:val="26"/>
        </w:rPr>
        <w:t>]’s age, ability, and wil</w:t>
      </w:r>
      <w:r w:rsidR="00A84780">
        <w:rPr>
          <w:rFonts w:ascii="Bookman Old Style" w:hAnsi="Bookman Old Style"/>
          <w:sz w:val="26"/>
          <w:szCs w:val="26"/>
        </w:rPr>
        <w:t>lingness to earn money and [his][</w:t>
      </w:r>
      <w:r w:rsidR="00905CDA" w:rsidRPr="00006559">
        <w:rPr>
          <w:rFonts w:ascii="Bookman Old Style" w:hAnsi="Bookman Old Style"/>
          <w:sz w:val="26"/>
          <w:szCs w:val="26"/>
        </w:rPr>
        <w:t>her] living and spending habits.</w:t>
      </w:r>
    </w:p>
    <w:p w:rsidR="00176991" w:rsidRDefault="00176991" w:rsidP="0059088A">
      <w:pPr>
        <w:tabs>
          <w:tab w:val="left" w:pos="720"/>
          <w:tab w:val="left" w:pos="1440"/>
        </w:tabs>
        <w:spacing w:line="360" w:lineRule="auto"/>
        <w:jc w:val="both"/>
        <w:rPr>
          <w:rFonts w:ascii="Bookman Old Style" w:hAnsi="Bookman Old Style" w:cs="Bookman Old Style"/>
          <w:sz w:val="26"/>
          <w:szCs w:val="26"/>
        </w:rPr>
      </w:pPr>
    </w:p>
    <w:p w:rsidR="0059088A" w:rsidRPr="00006559" w:rsidRDefault="0059088A" w:rsidP="0059088A">
      <w:pPr>
        <w:tabs>
          <w:tab w:val="left" w:pos="720"/>
          <w:tab w:val="left" w:pos="1440"/>
        </w:tabs>
        <w:spacing w:line="360" w:lineRule="auto"/>
        <w:jc w:val="both"/>
        <w:rPr>
          <w:rFonts w:ascii="Bookman Old Style" w:hAnsi="Bookman Old Style" w:cs="Bookman Old Style"/>
          <w:sz w:val="26"/>
          <w:szCs w:val="26"/>
        </w:rPr>
      </w:pPr>
    </w:p>
    <w:p w:rsidR="00176991" w:rsidRPr="00C85D2E" w:rsidRDefault="00176991">
      <w:pPr>
        <w:pStyle w:val="Heading1"/>
        <w:tabs>
          <w:tab w:val="clear" w:pos="5722"/>
          <w:tab w:val="right" w:pos="9270"/>
        </w:tabs>
        <w:ind w:left="0"/>
        <w:jc w:val="center"/>
        <w:rPr>
          <w:b/>
          <w:u w:val="none"/>
        </w:rPr>
      </w:pPr>
      <w:r w:rsidRPr="00C85D2E">
        <w:rPr>
          <w:b/>
          <w:u w:val="none"/>
        </w:rPr>
        <w:t>Use Note</w:t>
      </w:r>
    </w:p>
    <w:p w:rsidR="00176991" w:rsidRPr="00006559" w:rsidRDefault="00176991">
      <w:pPr>
        <w:rPr>
          <w:rFonts w:ascii="Bookman Old Style" w:hAnsi="Bookman Old Style" w:cs="Bookman Old Style"/>
          <w:sz w:val="26"/>
          <w:szCs w:val="26"/>
        </w:rPr>
      </w:pPr>
    </w:p>
    <w:p w:rsidR="00176991" w:rsidRDefault="00176991">
      <w:pPr>
        <w:pStyle w:val="BodyText"/>
        <w:tabs>
          <w:tab w:val="clear" w:pos="720"/>
          <w:tab w:val="clear" w:pos="1440"/>
        </w:tabs>
        <w:spacing w:line="240" w:lineRule="auto"/>
      </w:pPr>
      <w:r w:rsidRPr="00006559">
        <w:t>This instruction should be used where the action is prosecuted on behalf of the deceased's estate because there are no statutory beneficiaries.  This instruction should be used in lieu of Instructions 04.05 — 04.1</w:t>
      </w:r>
      <w:r w:rsidR="0000341C">
        <w:t>0C</w:t>
      </w:r>
      <w:r w:rsidRPr="00006559">
        <w:t>.  This instruction and Instructions 04.05 — 04.1</w:t>
      </w:r>
      <w:r w:rsidR="0000341C">
        <w:t>0C</w:t>
      </w:r>
      <w:r w:rsidRPr="00006559">
        <w:t xml:space="preserve"> apply to mutually exclusive circumstances.  The only time Instruction 04.1</w:t>
      </w:r>
      <w:r w:rsidR="0000341C">
        <w:t>1</w:t>
      </w:r>
      <w:r w:rsidRPr="00006559">
        <w:t xml:space="preserve"> would be used in combination with Instructions 04.05 — 04.1</w:t>
      </w:r>
      <w:r w:rsidR="0000341C">
        <w:t>0C</w:t>
      </w:r>
      <w:r w:rsidRPr="00006559">
        <w:t xml:space="preserve"> is if there is a fact question for the jury as to whether there are any qualifying statutory beneficiaries.  The only exception is Instruction 04.</w:t>
      </w:r>
      <w:r w:rsidR="00453B91">
        <w:t>08</w:t>
      </w:r>
      <w:r w:rsidRPr="00006559">
        <w:t>, which should be used when medical and/or funeral expenses are claimed on behalf of the estate.</w:t>
      </w:r>
    </w:p>
    <w:p w:rsidR="00DB4944" w:rsidRDefault="00DB4944">
      <w:pPr>
        <w:pStyle w:val="BodyText"/>
        <w:tabs>
          <w:tab w:val="clear" w:pos="720"/>
          <w:tab w:val="clear" w:pos="1440"/>
        </w:tabs>
        <w:spacing w:line="240" w:lineRule="auto"/>
      </w:pPr>
    </w:p>
    <w:p w:rsidR="00176991" w:rsidRPr="00006559" w:rsidRDefault="00176991">
      <w:pPr>
        <w:rPr>
          <w:rFonts w:ascii="Bookman Old Style" w:hAnsi="Bookman Old Style" w:cs="Bookman Old Style"/>
          <w:sz w:val="26"/>
          <w:szCs w:val="26"/>
        </w:rPr>
      </w:pPr>
    </w:p>
    <w:p w:rsidR="00176991" w:rsidRPr="00C85D2E" w:rsidRDefault="00176991">
      <w:pPr>
        <w:pStyle w:val="Heading2"/>
        <w:rPr>
          <w:b/>
          <w:u w:val="none"/>
        </w:rPr>
      </w:pPr>
      <w:r w:rsidRPr="00C85D2E">
        <w:rPr>
          <w:b/>
          <w:u w:val="none"/>
        </w:rPr>
        <w:t>Comment</w:t>
      </w:r>
    </w:p>
    <w:p w:rsidR="00176991" w:rsidRPr="00006559" w:rsidRDefault="00176991">
      <w:pPr>
        <w:rPr>
          <w:rFonts w:ascii="Bookman Old Style" w:hAnsi="Bookman Old Style" w:cs="Bookman Old Style"/>
          <w:sz w:val="26"/>
          <w:szCs w:val="26"/>
        </w:rPr>
      </w:pPr>
    </w:p>
    <w:p w:rsidR="00176991" w:rsidRPr="00006559" w:rsidRDefault="00176991">
      <w:pPr>
        <w:jc w:val="both"/>
        <w:rPr>
          <w:rFonts w:ascii="Bookman Old Style" w:hAnsi="Bookman Old Style" w:cs="Bookman Old Style"/>
          <w:sz w:val="26"/>
          <w:szCs w:val="26"/>
        </w:rPr>
      </w:pPr>
      <w:r w:rsidRPr="00006559">
        <w:rPr>
          <w:rFonts w:ascii="Bookman Old Style" w:hAnsi="Bookman Old Style" w:cs="Bookman Old Style"/>
          <w:sz w:val="26"/>
          <w:szCs w:val="26"/>
        </w:rPr>
        <w:t xml:space="preserve">AS 09.55.580 provides: "When the decedent is survived by no spouse or children or other dependents, the amount recovered shall be administered as other personal property of the decedent but shall be limited to pecuniary loss." The Alaska Supreme Court has interpreted this provision to mean that, in the absence of statutory beneficiaries, wrongful death damages are limited to the loss to the decedent's estate.  </w:t>
      </w:r>
      <w:r w:rsidR="00073211" w:rsidRPr="003244D0">
        <w:rPr>
          <w:rFonts w:ascii="Bookman Old Style" w:hAnsi="Bookman Old Style" w:cs="Bookman Old Style"/>
          <w:i/>
          <w:sz w:val="26"/>
          <w:szCs w:val="26"/>
        </w:rPr>
        <w:t xml:space="preserve">Sowinski v. </w:t>
      </w:r>
      <w:r w:rsidR="00DB4944" w:rsidRPr="003244D0">
        <w:rPr>
          <w:rFonts w:ascii="Bookman Old Style" w:hAnsi="Bookman Old Style" w:cs="Bookman Old Style"/>
          <w:i/>
          <w:sz w:val="26"/>
          <w:szCs w:val="26"/>
        </w:rPr>
        <w:t>W</w:t>
      </w:r>
      <w:r w:rsidR="00073211" w:rsidRPr="003244D0">
        <w:rPr>
          <w:rFonts w:ascii="Bookman Old Style" w:hAnsi="Bookman Old Style" w:cs="Bookman Old Style"/>
          <w:i/>
          <w:sz w:val="26"/>
          <w:szCs w:val="26"/>
        </w:rPr>
        <w:t>alker</w:t>
      </w:r>
      <w:r w:rsidR="00073211" w:rsidRPr="00006559">
        <w:rPr>
          <w:rFonts w:ascii="Bookman Old Style" w:hAnsi="Bookman Old Style" w:cs="Bookman Old Style"/>
          <w:sz w:val="26"/>
          <w:szCs w:val="26"/>
        </w:rPr>
        <w:t>, 198 P.3d 1134, 1161 (Alaska 2008</w:t>
      </w:r>
      <w:r w:rsidR="00073211" w:rsidRPr="003244D0">
        <w:rPr>
          <w:rFonts w:ascii="Bookman Old Style" w:hAnsi="Bookman Old Style" w:cs="Bookman Old Style"/>
          <w:sz w:val="26"/>
          <w:szCs w:val="26"/>
        </w:rPr>
        <w:t>);</w:t>
      </w:r>
      <w:r w:rsidR="00073211" w:rsidRPr="003244D0">
        <w:rPr>
          <w:rFonts w:ascii="Bookman Old Style" w:hAnsi="Bookman Old Style" w:cs="Bookman Old Style"/>
          <w:i/>
          <w:sz w:val="26"/>
          <w:szCs w:val="26"/>
        </w:rPr>
        <w:t xml:space="preserve"> </w:t>
      </w:r>
      <w:r w:rsidRPr="003244D0">
        <w:rPr>
          <w:rFonts w:ascii="Bookman Old Style" w:hAnsi="Bookman Old Style" w:cs="Bookman Old Style"/>
          <w:i/>
          <w:sz w:val="26"/>
          <w:szCs w:val="26"/>
        </w:rPr>
        <w:t>In re Estate of Pushruk</w:t>
      </w:r>
      <w:r w:rsidRPr="00006559">
        <w:rPr>
          <w:rFonts w:ascii="Bookman Old Style" w:hAnsi="Bookman Old Style" w:cs="Bookman Old Style"/>
          <w:sz w:val="26"/>
          <w:szCs w:val="26"/>
        </w:rPr>
        <w:t>, 562 P.2</w:t>
      </w:r>
      <w:r w:rsidR="00073211" w:rsidRPr="00006559">
        <w:rPr>
          <w:rFonts w:ascii="Bookman Old Style" w:hAnsi="Bookman Old Style" w:cs="Bookman Old Style"/>
          <w:sz w:val="26"/>
          <w:szCs w:val="26"/>
        </w:rPr>
        <w:t>d</w:t>
      </w:r>
      <w:r w:rsidRPr="00006559">
        <w:rPr>
          <w:rFonts w:ascii="Bookman Old Style" w:hAnsi="Bookman Old Style" w:cs="Bookman Old Style"/>
          <w:sz w:val="26"/>
          <w:szCs w:val="26"/>
        </w:rPr>
        <w:t xml:space="preserve"> 329, 331 (Alaska 1977); </w:t>
      </w:r>
      <w:r w:rsidRPr="003244D0">
        <w:rPr>
          <w:rFonts w:ascii="Bookman Old Style" w:hAnsi="Bookman Old Style" w:cs="Bookman Old Style"/>
          <w:i/>
          <w:sz w:val="26"/>
          <w:szCs w:val="26"/>
        </w:rPr>
        <w:t>Osborne v.  Russell</w:t>
      </w:r>
      <w:r w:rsidRPr="00006559">
        <w:rPr>
          <w:rFonts w:ascii="Bookman Old Style" w:hAnsi="Bookman Old Style" w:cs="Bookman Old Style"/>
          <w:sz w:val="26"/>
          <w:szCs w:val="26"/>
        </w:rPr>
        <w:t>, 66</w:t>
      </w:r>
      <w:r w:rsidR="00006559">
        <w:rPr>
          <w:rFonts w:ascii="Bookman Old Style" w:hAnsi="Bookman Old Style" w:cs="Bookman Old Style"/>
          <w:sz w:val="26"/>
          <w:szCs w:val="26"/>
        </w:rPr>
        <w:t xml:space="preserve">9 P.2d 550, 560 (Alaska 1983). </w:t>
      </w:r>
      <w:r w:rsidRPr="00006559">
        <w:rPr>
          <w:rFonts w:ascii="Bookman Old Style" w:hAnsi="Bookman Old Style" w:cs="Bookman Old Style"/>
          <w:sz w:val="26"/>
          <w:szCs w:val="26"/>
        </w:rPr>
        <w:t>As a result, certain items of non</w:t>
      </w:r>
      <w:r w:rsidRPr="00006559">
        <w:rPr>
          <w:rFonts w:ascii="Bookman Old Style" w:hAnsi="Bookman Old Style" w:cs="Bookman Old Style"/>
          <w:sz w:val="26"/>
          <w:szCs w:val="26"/>
        </w:rPr>
        <w:noBreakHyphen/>
        <w:t>pecuniary damage which would be available to statutory beneficiaries are not recoverable in a wrongful death action where there are no statutory beneficiaries.  For example, non</w:t>
      </w:r>
      <w:r w:rsidRPr="00006559">
        <w:rPr>
          <w:rFonts w:ascii="Bookman Old Style" w:hAnsi="Bookman Old Style" w:cs="Bookman Old Style"/>
          <w:sz w:val="26"/>
          <w:szCs w:val="26"/>
        </w:rPr>
        <w:noBreakHyphen/>
        <w:t xml:space="preserve">dependent parents cannot recover damages for emotional distress in a wrongful death action, even though such damages would be recoverable by a statutory beneficiary.  </w:t>
      </w:r>
      <w:r w:rsidRPr="003244D0">
        <w:rPr>
          <w:rFonts w:ascii="Bookman Old Style" w:hAnsi="Bookman Old Style" w:cs="Bookman Old Style"/>
          <w:i/>
          <w:sz w:val="26"/>
          <w:szCs w:val="26"/>
        </w:rPr>
        <w:t>Tommy's Elbow Room, Inc. v. Kavorkian</w:t>
      </w:r>
      <w:r w:rsidRPr="00006559">
        <w:rPr>
          <w:rFonts w:ascii="Bookman Old Style" w:hAnsi="Bookman Old Style" w:cs="Bookman Old Style"/>
          <w:sz w:val="26"/>
          <w:szCs w:val="26"/>
        </w:rPr>
        <w:t xml:space="preserve">, 727 P.2d 1038, 1045 (Alaska 1986).  The Alaska Supreme Court has approved an instruction stating that "[g]rief, sorrow, and loss of companionship, comfort or society" are not to be awarded in a wrongful death action where there were no statutory </w:t>
      </w:r>
      <w:r w:rsidR="00DB4944">
        <w:rPr>
          <w:rFonts w:ascii="Bookman Old Style" w:hAnsi="Bookman Old Style" w:cs="Bookman Old Style"/>
          <w:sz w:val="26"/>
          <w:szCs w:val="26"/>
        </w:rPr>
        <w:t>beneficiaries</w:t>
      </w:r>
      <w:r w:rsidRPr="00006559">
        <w:rPr>
          <w:rFonts w:ascii="Bookman Old Style" w:hAnsi="Bookman Old Style" w:cs="Bookman Old Style"/>
          <w:sz w:val="26"/>
          <w:szCs w:val="26"/>
        </w:rPr>
        <w:t xml:space="preserve">.  </w:t>
      </w:r>
      <w:r w:rsidRPr="003244D0">
        <w:rPr>
          <w:rFonts w:ascii="Bookman Old Style" w:hAnsi="Bookman Old Style" w:cs="Bookman Old Style"/>
          <w:i/>
          <w:sz w:val="26"/>
          <w:szCs w:val="26"/>
        </w:rPr>
        <w:t>Osborne</w:t>
      </w:r>
      <w:r w:rsidRPr="00006559">
        <w:rPr>
          <w:rFonts w:ascii="Bookman Old Style" w:hAnsi="Bookman Old Style" w:cs="Bookman Old Style"/>
          <w:sz w:val="26"/>
          <w:szCs w:val="26"/>
        </w:rPr>
        <w:t>, 669 P.2d at 559.</w:t>
      </w:r>
    </w:p>
    <w:p w:rsidR="00176991" w:rsidRPr="00006559" w:rsidRDefault="00176991">
      <w:pPr>
        <w:rPr>
          <w:rFonts w:ascii="Bookman Old Style" w:hAnsi="Bookman Old Style" w:cs="Bookman Old Style"/>
          <w:sz w:val="26"/>
          <w:szCs w:val="26"/>
        </w:rPr>
      </w:pPr>
    </w:p>
    <w:p w:rsidR="00250C7A" w:rsidRPr="00006559" w:rsidRDefault="00250C7A">
      <w:pPr>
        <w:jc w:val="both"/>
        <w:rPr>
          <w:rFonts w:ascii="Bookman Old Style" w:hAnsi="Bookman Old Style" w:cs="Bookman Old Style"/>
          <w:sz w:val="26"/>
          <w:szCs w:val="26"/>
        </w:rPr>
      </w:pPr>
      <w:r w:rsidRPr="00006559">
        <w:rPr>
          <w:rFonts w:ascii="Bookman Old Style" w:hAnsi="Bookman Old Style" w:cs="Bookman Old Style"/>
          <w:sz w:val="26"/>
          <w:szCs w:val="26"/>
        </w:rPr>
        <w:t xml:space="preserve">However, an estate’s claim for wrongful death may seek punitive damages, since the “pecuniary loss” limitation of the statute applies only to the compensatory damage award. </w:t>
      </w:r>
      <w:r w:rsidRPr="003244D0">
        <w:rPr>
          <w:rFonts w:ascii="Bookman Old Style" w:hAnsi="Bookman Old Style" w:cs="Bookman Old Style"/>
          <w:i/>
          <w:sz w:val="26"/>
          <w:szCs w:val="26"/>
        </w:rPr>
        <w:t>Portwood v. Copper Valley Electric Ass’n</w:t>
      </w:r>
      <w:r w:rsidRPr="00006559">
        <w:rPr>
          <w:rFonts w:ascii="Bookman Old Style" w:hAnsi="Bookman Old Style" w:cs="Bookman Old Style"/>
          <w:sz w:val="26"/>
          <w:szCs w:val="26"/>
          <w:u w:val="single"/>
        </w:rPr>
        <w:t>,</w:t>
      </w:r>
      <w:r w:rsidRPr="00006559">
        <w:rPr>
          <w:rFonts w:ascii="Bookman Old Style" w:hAnsi="Bookman Old Style" w:cs="Bookman Old Style"/>
          <w:sz w:val="26"/>
          <w:szCs w:val="26"/>
        </w:rPr>
        <w:t xml:space="preserve"> 785 P.2d 541, 542 (Alaska 1990).</w:t>
      </w:r>
    </w:p>
    <w:p w:rsidR="00250C7A" w:rsidRPr="00006559" w:rsidRDefault="00250C7A">
      <w:pPr>
        <w:jc w:val="both"/>
        <w:rPr>
          <w:rFonts w:ascii="Bookman Old Style" w:hAnsi="Bookman Old Style" w:cs="Bookman Old Style"/>
          <w:sz w:val="26"/>
          <w:szCs w:val="26"/>
          <w:u w:val="single"/>
        </w:rPr>
      </w:pPr>
    </w:p>
    <w:p w:rsidR="00176991" w:rsidRDefault="00176991">
      <w:pPr>
        <w:jc w:val="both"/>
        <w:rPr>
          <w:rFonts w:ascii="Bookman Old Style" w:hAnsi="Bookman Old Style" w:cs="Bookman Old Style"/>
          <w:sz w:val="26"/>
          <w:szCs w:val="26"/>
        </w:rPr>
      </w:pPr>
    </w:p>
    <w:p w:rsidR="00176991" w:rsidRPr="00006559" w:rsidRDefault="00176991">
      <w:pPr>
        <w:tabs>
          <w:tab w:val="right" w:pos="7970"/>
        </w:tabs>
        <w:ind w:left="2041"/>
        <w:rPr>
          <w:rFonts w:ascii="Bookman Old Style" w:hAnsi="Bookman Old Style" w:cs="Bookman Old Style"/>
          <w:sz w:val="26"/>
          <w:szCs w:val="26"/>
          <w:u w:val="single"/>
        </w:rPr>
      </w:pPr>
      <w:r w:rsidRPr="00006559">
        <w:rPr>
          <w:rFonts w:ascii="Bookman Old Style" w:hAnsi="Bookman Old Style" w:cs="Bookman Old Style"/>
          <w:sz w:val="26"/>
          <w:szCs w:val="26"/>
          <w:u w:val="single"/>
        </w:rPr>
        <w:t>Computation of Pecuniary Loss to Estate</w:t>
      </w:r>
    </w:p>
    <w:p w:rsidR="00176991" w:rsidRPr="00006559" w:rsidRDefault="00176991">
      <w:pPr>
        <w:rPr>
          <w:rFonts w:ascii="Bookman Old Style" w:hAnsi="Bookman Old Style" w:cs="Bookman Old Style"/>
          <w:sz w:val="26"/>
          <w:szCs w:val="26"/>
        </w:rPr>
      </w:pPr>
    </w:p>
    <w:p w:rsidR="00176991" w:rsidRPr="00006559" w:rsidRDefault="00176991">
      <w:pPr>
        <w:jc w:val="both"/>
        <w:rPr>
          <w:rFonts w:ascii="Bookman Old Style" w:hAnsi="Bookman Old Style" w:cs="Bookman Old Style"/>
          <w:sz w:val="26"/>
          <w:szCs w:val="26"/>
        </w:rPr>
      </w:pPr>
      <w:r w:rsidRPr="00006559">
        <w:rPr>
          <w:rFonts w:ascii="Bookman Old Style" w:hAnsi="Bookman Old Style" w:cs="Bookman Old Style"/>
          <w:sz w:val="26"/>
          <w:szCs w:val="26"/>
        </w:rPr>
        <w:t xml:space="preserve">The Alaska Supreme Court has approved computation of pecuniary loss to the estate based upon the "net earnings theory."  Under this theory, the loss to the estate equals the decedent's projected earnings diminished by the decedent's projected living expenses.  </w:t>
      </w:r>
      <w:r w:rsidRPr="003244D0">
        <w:rPr>
          <w:rFonts w:ascii="Bookman Old Style" w:hAnsi="Bookman Old Style" w:cs="Bookman Old Style"/>
          <w:i/>
          <w:sz w:val="26"/>
          <w:szCs w:val="26"/>
        </w:rPr>
        <w:t>Osborne v. Russell</w:t>
      </w:r>
      <w:r w:rsidRPr="00006559">
        <w:rPr>
          <w:rFonts w:ascii="Bookman Old Style" w:hAnsi="Bookman Old Style" w:cs="Bookman Old Style"/>
          <w:sz w:val="26"/>
          <w:szCs w:val="26"/>
        </w:rPr>
        <w:t xml:space="preserve">, 669 P.2d at 560.  The supreme court in </w:t>
      </w:r>
      <w:r w:rsidRPr="003244D0">
        <w:rPr>
          <w:rFonts w:ascii="Bookman Old Style" w:hAnsi="Bookman Old Style" w:cs="Bookman Old Style"/>
          <w:i/>
          <w:sz w:val="26"/>
          <w:szCs w:val="26"/>
        </w:rPr>
        <w:t>Osborne</w:t>
      </w:r>
      <w:r w:rsidRPr="00006559">
        <w:rPr>
          <w:rFonts w:ascii="Bookman Old Style" w:hAnsi="Bookman Old Style" w:cs="Bookman Old Style"/>
          <w:sz w:val="26"/>
          <w:szCs w:val="26"/>
        </w:rPr>
        <w:t xml:space="preserve"> expressly approved the following instruction:</w:t>
      </w:r>
    </w:p>
    <w:p w:rsidR="00176991" w:rsidRPr="00006559" w:rsidRDefault="00176991">
      <w:pPr>
        <w:rPr>
          <w:rFonts w:ascii="Bookman Old Style" w:hAnsi="Bookman Old Style" w:cs="Bookman Old Style"/>
          <w:sz w:val="26"/>
          <w:szCs w:val="26"/>
        </w:rPr>
      </w:pPr>
    </w:p>
    <w:p w:rsidR="00176991" w:rsidRPr="00006559" w:rsidRDefault="00176991">
      <w:pPr>
        <w:pStyle w:val="BlockText"/>
      </w:pPr>
      <w:r w:rsidRPr="00006559">
        <w:t>Pecuniary loss to the estate is the amount of decedent's probable future earnings diminished by the amount he would have spent for his own living expenses had he lived.</w:t>
      </w:r>
    </w:p>
    <w:p w:rsidR="00176991" w:rsidRPr="00006559" w:rsidRDefault="00176991">
      <w:pPr>
        <w:ind w:left="720" w:right="720"/>
        <w:rPr>
          <w:rFonts w:ascii="Bookman Old Style" w:hAnsi="Bookman Old Style" w:cs="Bookman Old Style"/>
          <w:sz w:val="26"/>
          <w:szCs w:val="26"/>
        </w:rPr>
      </w:pPr>
    </w:p>
    <w:p w:rsidR="00176991" w:rsidRPr="00006559" w:rsidRDefault="00176991">
      <w:pPr>
        <w:ind w:left="720" w:right="720"/>
        <w:jc w:val="both"/>
        <w:rPr>
          <w:rFonts w:ascii="Bookman Old Style" w:hAnsi="Bookman Old Style" w:cs="Bookman Old Style"/>
          <w:sz w:val="26"/>
          <w:szCs w:val="26"/>
        </w:rPr>
      </w:pPr>
      <w:r w:rsidRPr="00006559">
        <w:rPr>
          <w:rFonts w:ascii="Bookman Old Style" w:hAnsi="Bookman Old Style" w:cs="Bookman Old Style"/>
          <w:sz w:val="26"/>
          <w:szCs w:val="26"/>
        </w:rPr>
        <w:t>Grief, sorrow, and loss of companionship, comfort or society are not to be regarded as items of pecuniary loss for the purposes of any award.</w:t>
      </w:r>
    </w:p>
    <w:p w:rsidR="00176991" w:rsidRPr="00006559" w:rsidRDefault="00176991">
      <w:pPr>
        <w:rPr>
          <w:rFonts w:ascii="Bookman Old Style" w:hAnsi="Bookman Old Style" w:cs="Bookman Old Style"/>
          <w:sz w:val="26"/>
          <w:szCs w:val="26"/>
        </w:rPr>
      </w:pPr>
    </w:p>
    <w:p w:rsidR="00176991" w:rsidRPr="00006559" w:rsidRDefault="00176991">
      <w:pPr>
        <w:rPr>
          <w:rFonts w:ascii="Bookman Old Style" w:hAnsi="Bookman Old Style" w:cs="Bookman Old Style"/>
          <w:sz w:val="26"/>
          <w:szCs w:val="26"/>
        </w:rPr>
      </w:pPr>
      <w:r w:rsidRPr="003244D0">
        <w:rPr>
          <w:rFonts w:ascii="Bookman Old Style" w:hAnsi="Bookman Old Style" w:cs="Bookman Old Style"/>
          <w:i/>
          <w:sz w:val="26"/>
          <w:szCs w:val="26"/>
        </w:rPr>
        <w:t>Id</w:t>
      </w:r>
      <w:r w:rsidRPr="00006559">
        <w:rPr>
          <w:rFonts w:ascii="Bookman Old Style" w:hAnsi="Bookman Old Style" w:cs="Bookman Old Style"/>
          <w:sz w:val="26"/>
          <w:szCs w:val="26"/>
        </w:rPr>
        <w:t>. at 559.</w:t>
      </w:r>
    </w:p>
    <w:p w:rsidR="00787DDF" w:rsidRPr="00006559" w:rsidRDefault="00787DDF">
      <w:pPr>
        <w:jc w:val="both"/>
        <w:rPr>
          <w:rFonts w:ascii="Bookman Old Style" w:hAnsi="Bookman Old Style" w:cs="Bookman Old Style"/>
          <w:sz w:val="26"/>
          <w:szCs w:val="26"/>
        </w:rPr>
      </w:pPr>
    </w:p>
    <w:p w:rsidR="00787DDF" w:rsidRPr="00D378C5" w:rsidRDefault="00787DDF">
      <w:pPr>
        <w:jc w:val="both"/>
        <w:rPr>
          <w:rFonts w:ascii="Bookman Old Style" w:hAnsi="Bookman Old Style" w:cs="Bookman Old Style"/>
          <w:sz w:val="26"/>
          <w:szCs w:val="26"/>
        </w:rPr>
      </w:pPr>
      <w:r w:rsidRPr="00D378C5">
        <w:rPr>
          <w:rFonts w:ascii="Bookman Old Style" w:hAnsi="Bookman Old Style" w:cs="Bookman Old Style"/>
          <w:sz w:val="26"/>
          <w:szCs w:val="26"/>
        </w:rPr>
        <w:t xml:space="preserve">The supreme court held in </w:t>
      </w:r>
      <w:r w:rsidRPr="003244D0">
        <w:rPr>
          <w:rFonts w:ascii="Bookman Old Style" w:hAnsi="Bookman Old Style" w:cs="Bookman Old Style"/>
          <w:i/>
          <w:sz w:val="26"/>
          <w:szCs w:val="26"/>
        </w:rPr>
        <w:t>Kulawik v. Era Jet Alaska</w:t>
      </w:r>
      <w:r w:rsidRPr="00D378C5">
        <w:rPr>
          <w:rFonts w:ascii="Bookman Old Style" w:hAnsi="Bookman Old Style" w:cs="Bookman Old Style"/>
          <w:sz w:val="26"/>
          <w:szCs w:val="26"/>
        </w:rPr>
        <w:t>, 820 P.2d 627, 630 (Alaska 1991), that</w:t>
      </w:r>
      <w:r w:rsidR="00905CDA" w:rsidRPr="00D378C5">
        <w:rPr>
          <w:rFonts w:ascii="Bookman Old Style" w:hAnsi="Bookman Old Style" w:cs="Bookman Old Style"/>
          <w:sz w:val="26"/>
          <w:szCs w:val="26"/>
        </w:rPr>
        <w:t xml:space="preserve"> </w:t>
      </w:r>
      <w:r w:rsidRPr="00D378C5">
        <w:rPr>
          <w:rFonts w:ascii="Bookman Old Style" w:hAnsi="Bookman Old Style" w:cs="Bookman Old Style"/>
          <w:sz w:val="26"/>
          <w:szCs w:val="26"/>
        </w:rPr>
        <w:t xml:space="preserve">income tax liability is disregarded in calculating </w:t>
      </w:r>
      <w:r w:rsidR="006C1A86" w:rsidRPr="00D378C5">
        <w:rPr>
          <w:rFonts w:ascii="Bookman Old Style" w:hAnsi="Bookman Old Style" w:cs="Bookman Old Style"/>
          <w:sz w:val="26"/>
          <w:szCs w:val="26"/>
        </w:rPr>
        <w:t>post-trial</w:t>
      </w:r>
      <w:r w:rsidRPr="00D378C5">
        <w:rPr>
          <w:rFonts w:ascii="Bookman Old Style" w:hAnsi="Bookman Old Style" w:cs="Bookman Old Style"/>
          <w:sz w:val="26"/>
          <w:szCs w:val="26"/>
        </w:rPr>
        <w:t xml:space="preserve"> earnings and consumption.</w:t>
      </w:r>
    </w:p>
    <w:p w:rsidR="00176991" w:rsidRPr="00006559" w:rsidRDefault="00176991" w:rsidP="00006559">
      <w:pPr>
        <w:jc w:val="both"/>
        <w:rPr>
          <w:rFonts w:ascii="Bookman Old Style" w:hAnsi="Bookman Old Style" w:cs="Bookman Old Style"/>
          <w:sz w:val="26"/>
          <w:szCs w:val="26"/>
          <w:u w:val="single"/>
        </w:rPr>
      </w:pPr>
    </w:p>
    <w:p w:rsidR="00176991" w:rsidRPr="00006559" w:rsidRDefault="00176991">
      <w:pPr>
        <w:rPr>
          <w:rFonts w:ascii="Bookman Old Style" w:hAnsi="Bookman Old Style" w:cs="Bookman Old Style"/>
          <w:sz w:val="26"/>
          <w:szCs w:val="26"/>
        </w:rPr>
      </w:pPr>
      <w:r w:rsidRPr="006721D1">
        <w:rPr>
          <w:rFonts w:ascii="Bookman Old Style" w:hAnsi="Bookman Old Style" w:cs="Bookman Old Style"/>
          <w:i/>
          <w:sz w:val="26"/>
          <w:szCs w:val="26"/>
        </w:rPr>
        <w:t>See also</w:t>
      </w:r>
      <w:r w:rsidRPr="00006559">
        <w:rPr>
          <w:rFonts w:ascii="Bookman Old Style" w:hAnsi="Bookman Old Style" w:cs="Bookman Old Style"/>
          <w:sz w:val="26"/>
          <w:szCs w:val="26"/>
        </w:rPr>
        <w:t xml:space="preserve"> Comment to Instruction 04.03</w:t>
      </w:r>
    </w:p>
    <w:p w:rsidR="00176991" w:rsidRPr="00006559" w:rsidRDefault="00176991">
      <w:pPr>
        <w:rPr>
          <w:rFonts w:ascii="Bookman Old Style" w:hAnsi="Bookman Old Style" w:cs="Bookman Old Style"/>
          <w:sz w:val="26"/>
          <w:szCs w:val="26"/>
        </w:rPr>
      </w:pPr>
    </w:p>
    <w:sectPr w:rsidR="00176991" w:rsidRPr="00006559">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BA" w:rsidRDefault="00C833BA">
      <w:r>
        <w:separator/>
      </w:r>
    </w:p>
  </w:endnote>
  <w:endnote w:type="continuationSeparator" w:id="0">
    <w:p w:rsidR="00C833BA" w:rsidRDefault="00C8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91" w:rsidRPr="0059088A" w:rsidRDefault="0059088A" w:rsidP="0059088A">
    <w:pPr>
      <w:pStyle w:val="Footer"/>
      <w:tabs>
        <w:tab w:val="clear" w:pos="8640"/>
        <w:tab w:val="right" w:pos="9360"/>
      </w:tabs>
      <w:rPr>
        <w:rFonts w:ascii="Bookman Old Style" w:hAnsi="Bookman Old Style" w:cs="Bookman Old Style"/>
        <w:sz w:val="22"/>
        <w:szCs w:val="22"/>
      </w:rPr>
    </w:pPr>
    <w:r>
      <w:rPr>
        <w:rFonts w:ascii="Bookman Old Style" w:hAnsi="Bookman Old Style" w:cs="Bookman Old Style"/>
        <w:sz w:val="22"/>
        <w:szCs w:val="22"/>
      </w:rPr>
      <w:t xml:space="preserve">Revised </w:t>
    </w:r>
    <w:r w:rsidR="00006559" w:rsidRPr="0059088A">
      <w:rPr>
        <w:rFonts w:ascii="Bookman Old Style" w:hAnsi="Bookman Old Style" w:cs="Bookman Old Style"/>
        <w:sz w:val="22"/>
        <w:szCs w:val="22"/>
      </w:rPr>
      <w:t>2013</w:t>
    </w:r>
    <w:r w:rsidR="00176991" w:rsidRPr="0059088A">
      <w:rPr>
        <w:rFonts w:ascii="Bookman Old Style" w:hAnsi="Bookman Old Style" w:cs="Bookman Old Style"/>
        <w:sz w:val="22"/>
        <w:szCs w:val="22"/>
      </w:rPr>
      <w:tab/>
    </w:r>
    <w:r w:rsidR="00176991" w:rsidRPr="0059088A">
      <w:rPr>
        <w:rFonts w:ascii="Bookman Old Style" w:hAnsi="Bookman Old Style" w:cs="Bookman Old Style"/>
        <w:sz w:val="22"/>
        <w:szCs w:val="22"/>
      </w:rPr>
      <w:tab/>
      <w:t>04.</w:t>
    </w:r>
    <w:r w:rsidR="00776DF4" w:rsidRPr="0059088A">
      <w:rPr>
        <w:rFonts w:ascii="Bookman Old Style" w:hAnsi="Bookman Old Style" w:cs="Bookman Old Style"/>
        <w:sz w:val="22"/>
        <w:szCs w:val="22"/>
      </w:rPr>
      <w:t>11</w:t>
    </w:r>
    <w:r w:rsidR="00176991" w:rsidRPr="0059088A">
      <w:rPr>
        <w:rFonts w:ascii="Bookman Old Style" w:hAnsi="Bookman Old Style" w:cs="Bookman Old Style"/>
        <w:sz w:val="22"/>
        <w:szCs w:val="22"/>
      </w:rPr>
      <w:t xml:space="preserve"> – </w:t>
    </w:r>
    <w:r w:rsidR="00176991" w:rsidRPr="0059088A">
      <w:rPr>
        <w:rStyle w:val="PageNumber"/>
        <w:rFonts w:ascii="Bookman Old Style" w:hAnsi="Bookman Old Style" w:cs="Bookman Old Style"/>
        <w:sz w:val="22"/>
        <w:szCs w:val="22"/>
      </w:rPr>
      <w:fldChar w:fldCharType="begin"/>
    </w:r>
    <w:r w:rsidR="00176991" w:rsidRPr="0059088A">
      <w:rPr>
        <w:rStyle w:val="PageNumber"/>
        <w:rFonts w:ascii="Bookman Old Style" w:hAnsi="Bookman Old Style" w:cs="Bookman Old Style"/>
        <w:sz w:val="22"/>
        <w:szCs w:val="22"/>
      </w:rPr>
      <w:instrText xml:space="preserve"> PAGE </w:instrText>
    </w:r>
    <w:r w:rsidR="00176991" w:rsidRPr="0059088A">
      <w:rPr>
        <w:rStyle w:val="PageNumber"/>
        <w:rFonts w:ascii="Bookman Old Style" w:hAnsi="Bookman Old Style" w:cs="Bookman Old Style"/>
        <w:sz w:val="22"/>
        <w:szCs w:val="22"/>
      </w:rPr>
      <w:fldChar w:fldCharType="separate"/>
    </w:r>
    <w:r w:rsidR="003F1598">
      <w:rPr>
        <w:rStyle w:val="PageNumber"/>
        <w:rFonts w:ascii="Bookman Old Style" w:hAnsi="Bookman Old Style" w:cs="Bookman Old Style"/>
        <w:noProof/>
        <w:sz w:val="22"/>
        <w:szCs w:val="22"/>
      </w:rPr>
      <w:t>1</w:t>
    </w:r>
    <w:r w:rsidR="00176991" w:rsidRPr="0059088A">
      <w:rPr>
        <w:rStyle w:val="PageNumber"/>
        <w:rFonts w:ascii="Bookman Old Style" w:hAnsi="Bookman Old Style" w:cs="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BA" w:rsidRDefault="00C833BA">
      <w:r>
        <w:separator/>
      </w:r>
    </w:p>
  </w:footnote>
  <w:footnote w:type="continuationSeparator" w:id="0">
    <w:p w:rsidR="00C833BA" w:rsidRDefault="00C8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97"/>
    <w:rsid w:val="0000341C"/>
    <w:rsid w:val="00006559"/>
    <w:rsid w:val="00020F9E"/>
    <w:rsid w:val="00073211"/>
    <w:rsid w:val="000A49DD"/>
    <w:rsid w:val="00114A3C"/>
    <w:rsid w:val="00176991"/>
    <w:rsid w:val="002130DB"/>
    <w:rsid w:val="0024042C"/>
    <w:rsid w:val="00250C7A"/>
    <w:rsid w:val="002915AC"/>
    <w:rsid w:val="002A2B97"/>
    <w:rsid w:val="003244D0"/>
    <w:rsid w:val="003F1598"/>
    <w:rsid w:val="004213B5"/>
    <w:rsid w:val="00453B91"/>
    <w:rsid w:val="0050441F"/>
    <w:rsid w:val="0059088A"/>
    <w:rsid w:val="006721D1"/>
    <w:rsid w:val="006C1A86"/>
    <w:rsid w:val="006C1C2D"/>
    <w:rsid w:val="00776DF4"/>
    <w:rsid w:val="00787DDF"/>
    <w:rsid w:val="0079739E"/>
    <w:rsid w:val="00887E01"/>
    <w:rsid w:val="008A7825"/>
    <w:rsid w:val="008B737D"/>
    <w:rsid w:val="008D68C1"/>
    <w:rsid w:val="00905CDA"/>
    <w:rsid w:val="00A7041A"/>
    <w:rsid w:val="00A84780"/>
    <w:rsid w:val="00AA0B80"/>
    <w:rsid w:val="00B575D9"/>
    <w:rsid w:val="00C833BA"/>
    <w:rsid w:val="00C85D2E"/>
    <w:rsid w:val="00D378C5"/>
    <w:rsid w:val="00DB4944"/>
    <w:rsid w:val="00DC6935"/>
    <w:rsid w:val="00EC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tabs>
        <w:tab w:val="right" w:pos="5722"/>
      </w:tabs>
      <w:ind w:left="4281"/>
      <w:outlineLvl w:val="0"/>
    </w:pPr>
    <w:rPr>
      <w:rFonts w:ascii="Bookman Old Style" w:hAnsi="Bookman Old Style" w:cs="Bookman Old Style"/>
      <w:sz w:val="26"/>
      <w:szCs w:val="26"/>
      <w:u w:val="single"/>
    </w:rPr>
  </w:style>
  <w:style w:type="paragraph" w:styleId="Heading2">
    <w:name w:val="heading 2"/>
    <w:basedOn w:val="Normal"/>
    <w:next w:val="Normal"/>
    <w:link w:val="Heading2Char"/>
    <w:uiPriority w:val="99"/>
    <w:qFormat/>
    <w:pPr>
      <w:keepNext/>
      <w:tabs>
        <w:tab w:val="right" w:pos="5659"/>
      </w:tabs>
      <w:jc w:val="center"/>
      <w:outlineLvl w:val="1"/>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 w:val="left" w:pos="1440"/>
      </w:tabs>
      <w:spacing w:line="360" w:lineRule="auto"/>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lockText">
    <w:name w:val="Block Text"/>
    <w:basedOn w:val="Normal"/>
    <w:uiPriority w:val="99"/>
    <w:pPr>
      <w:ind w:left="720" w:right="720"/>
      <w:jc w:val="both"/>
    </w:pPr>
    <w:rPr>
      <w:rFonts w:ascii="Bookman Old Style" w:hAnsi="Bookman Old Style" w:cs="Bookman Old Style"/>
      <w:sz w:val="26"/>
      <w:szCs w:val="26"/>
    </w:rPr>
  </w:style>
  <w:style w:type="paragraph" w:styleId="BalloonText">
    <w:name w:val="Balloon Text"/>
    <w:basedOn w:val="Normal"/>
    <w:link w:val="BalloonTextChar"/>
    <w:uiPriority w:val="99"/>
    <w:semiHidden/>
    <w:unhideWhenUsed/>
    <w:rsid w:val="00250C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tabs>
        <w:tab w:val="right" w:pos="5722"/>
      </w:tabs>
      <w:ind w:left="4281"/>
      <w:outlineLvl w:val="0"/>
    </w:pPr>
    <w:rPr>
      <w:rFonts w:ascii="Bookman Old Style" w:hAnsi="Bookman Old Style" w:cs="Bookman Old Style"/>
      <w:sz w:val="26"/>
      <w:szCs w:val="26"/>
      <w:u w:val="single"/>
    </w:rPr>
  </w:style>
  <w:style w:type="paragraph" w:styleId="Heading2">
    <w:name w:val="heading 2"/>
    <w:basedOn w:val="Normal"/>
    <w:next w:val="Normal"/>
    <w:link w:val="Heading2Char"/>
    <w:uiPriority w:val="99"/>
    <w:qFormat/>
    <w:pPr>
      <w:keepNext/>
      <w:tabs>
        <w:tab w:val="right" w:pos="5659"/>
      </w:tabs>
      <w:jc w:val="center"/>
      <w:outlineLvl w:val="1"/>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left" w:pos="720"/>
        <w:tab w:val="left" w:pos="1440"/>
      </w:tabs>
      <w:spacing w:line="360" w:lineRule="auto"/>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lockText">
    <w:name w:val="Block Text"/>
    <w:basedOn w:val="Normal"/>
    <w:uiPriority w:val="99"/>
    <w:pPr>
      <w:ind w:left="720" w:right="720"/>
      <w:jc w:val="both"/>
    </w:pPr>
    <w:rPr>
      <w:rFonts w:ascii="Bookman Old Style" w:hAnsi="Bookman Old Style" w:cs="Bookman Old Style"/>
      <w:sz w:val="26"/>
      <w:szCs w:val="26"/>
    </w:rPr>
  </w:style>
  <w:style w:type="paragraph" w:styleId="BalloonText">
    <w:name w:val="Balloon Text"/>
    <w:basedOn w:val="Normal"/>
    <w:link w:val="BalloonTextChar"/>
    <w:uiPriority w:val="99"/>
    <w:semiHidden/>
    <w:unhideWhenUsed/>
    <w:rsid w:val="00250C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0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Windows User</cp:lastModifiedBy>
  <cp:revision>2</cp:revision>
  <cp:lastPrinted>2013-10-08T17:41:00Z</cp:lastPrinted>
  <dcterms:created xsi:type="dcterms:W3CDTF">2013-10-08T21:49:00Z</dcterms:created>
  <dcterms:modified xsi:type="dcterms:W3CDTF">2013-10-08T21:49:00Z</dcterms:modified>
</cp:coreProperties>
</file>