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5310">
      <w:pPr>
        <w:spacing w:line="360" w:lineRule="auto"/>
        <w:jc w:val="both"/>
        <w:rPr>
          <w:rFonts w:ascii="Bookman Old Style" w:hAnsi="Bookman Old Style"/>
          <w:b/>
          <w:sz w:val="26"/>
        </w:rPr>
      </w:pPr>
      <w:bookmarkStart w:id="0" w:name="_GoBack"/>
      <w:bookmarkEnd w:id="0"/>
      <w:r>
        <w:rPr>
          <w:rFonts w:ascii="Bookman Old Style" w:hAnsi="Bookman Old Style"/>
          <w:b/>
          <w:sz w:val="26"/>
        </w:rPr>
        <w:t>05.03</w:t>
      </w:r>
      <w:r>
        <w:rPr>
          <w:rFonts w:ascii="Bookman Old Style" w:hAnsi="Bookman Old Style"/>
          <w:b/>
          <w:sz w:val="26"/>
        </w:rPr>
        <w:tab/>
        <w:t>PEDESTRIAN – GENERAL DUTY OF CARE</w:t>
      </w:r>
    </w:p>
    <w:p w:rsidR="00000000" w:rsidRDefault="005553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5553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360" w:lineRule="auto"/>
        <w:jc w:val="both"/>
        <w:rPr>
          <w:rFonts w:ascii="Bookman Old Style" w:hAnsi="Bookman Old Style"/>
          <w:sz w:val="26"/>
        </w:rPr>
      </w:pPr>
    </w:p>
    <w:p w:rsidR="00000000" w:rsidRDefault="00555310">
      <w:pPr>
        <w:spacing w:line="360" w:lineRule="auto"/>
        <w:jc w:val="both"/>
        <w:rPr>
          <w:rFonts w:ascii="Bookman Old Style" w:hAnsi="Bookman Old Style"/>
          <w:sz w:val="26"/>
        </w:rPr>
      </w:pPr>
      <w:r>
        <w:rPr>
          <w:rFonts w:ascii="Bookman Old Style" w:hAnsi="Bookman Old Style"/>
          <w:sz w:val="26"/>
        </w:rPr>
        <w:t>A pedestrian is negligent if the pedestrian does not exercise reasonable care in using public streets and highways.</w:t>
      </w:r>
    </w:p>
    <w:p w:rsidR="00000000" w:rsidRDefault="00555310">
      <w:pPr>
        <w:spacing w:line="360" w:lineRule="auto"/>
        <w:jc w:val="both"/>
        <w:rPr>
          <w:rFonts w:ascii="Bookman Old Style" w:hAnsi="Bookman Old Style"/>
          <w:sz w:val="26"/>
        </w:rPr>
      </w:pPr>
    </w:p>
    <w:p w:rsidR="00000000" w:rsidRDefault="00555310">
      <w:pPr>
        <w:spacing w:line="360" w:lineRule="auto"/>
        <w:jc w:val="both"/>
        <w:rPr>
          <w:rFonts w:ascii="Bookman Old Style" w:hAnsi="Bookman Old Style"/>
          <w:sz w:val="26"/>
        </w:rPr>
      </w:pPr>
    </w:p>
    <w:p w:rsidR="00000000" w:rsidRDefault="00555310">
      <w:pPr>
        <w:pStyle w:val="Heading1"/>
        <w:spacing w:line="240" w:lineRule="auto"/>
      </w:pPr>
      <w:r>
        <w:t>Use Note</w:t>
      </w:r>
    </w:p>
    <w:p w:rsidR="00000000" w:rsidRDefault="00555310">
      <w:pPr>
        <w:jc w:val="center"/>
        <w:rPr>
          <w:rFonts w:ascii="Bookman Old Style" w:hAnsi="Bookman Old Style"/>
          <w:sz w:val="26"/>
          <w:u w:val="single"/>
        </w:rPr>
      </w:pPr>
    </w:p>
    <w:p w:rsidR="00000000" w:rsidRDefault="00555310">
      <w:pPr>
        <w:pStyle w:val="BodyText"/>
        <w:spacing w:line="240" w:lineRule="auto"/>
      </w:pPr>
      <w:r>
        <w:t>This instruction is to be given when the negligence of a pedestrian is at issue.</w:t>
      </w:r>
    </w:p>
    <w:p w:rsidR="00000000" w:rsidRDefault="00555310">
      <w:pPr>
        <w:jc w:val="both"/>
        <w:rPr>
          <w:rFonts w:ascii="Bookman Old Style" w:hAnsi="Bookman Old Style"/>
          <w:sz w:val="26"/>
        </w:rPr>
      </w:pPr>
    </w:p>
    <w:p w:rsidR="00000000" w:rsidRDefault="00555310">
      <w:pPr>
        <w:pStyle w:val="BodyText"/>
        <w:spacing w:line="240" w:lineRule="auto"/>
      </w:pPr>
      <w:r>
        <w:t>This</w:t>
      </w:r>
      <w:r>
        <w:t xml:space="preserve"> instruction should be preceded by Instruction 03.03A, defining negligence or 03.02A, defining contributory negligence.</w:t>
      </w:r>
    </w:p>
    <w:p w:rsidR="00000000" w:rsidRDefault="00555310">
      <w:pPr>
        <w:jc w:val="center"/>
        <w:rPr>
          <w:rFonts w:ascii="Bookman Old Style" w:hAnsi="Bookman Old Style"/>
          <w:sz w:val="26"/>
          <w:u w:val="single"/>
        </w:rPr>
      </w:pPr>
    </w:p>
    <w:p w:rsidR="00000000" w:rsidRDefault="00555310">
      <w:pPr>
        <w:jc w:val="center"/>
        <w:rPr>
          <w:rFonts w:ascii="Bookman Old Style" w:hAnsi="Bookman Old Style"/>
          <w:sz w:val="26"/>
          <w:u w:val="single"/>
        </w:rPr>
      </w:pPr>
      <w:r>
        <w:rPr>
          <w:rFonts w:ascii="Bookman Old Style" w:hAnsi="Bookman Old Style"/>
          <w:sz w:val="26"/>
          <w:u w:val="single"/>
        </w:rPr>
        <w:t>Comment</w:t>
      </w:r>
    </w:p>
    <w:p w:rsidR="00000000" w:rsidRDefault="00555310">
      <w:pPr>
        <w:jc w:val="center"/>
        <w:rPr>
          <w:rFonts w:ascii="Bookman Old Style" w:hAnsi="Bookman Old Style"/>
          <w:sz w:val="26"/>
          <w:u w:val="single"/>
        </w:rPr>
      </w:pPr>
    </w:p>
    <w:p w:rsidR="00000000" w:rsidRDefault="00555310">
      <w:pPr>
        <w:jc w:val="both"/>
        <w:rPr>
          <w:rFonts w:ascii="Bookman Old Style" w:hAnsi="Bookman Old Style"/>
          <w:sz w:val="26"/>
        </w:rPr>
      </w:pPr>
      <w:r>
        <w:rPr>
          <w:rFonts w:ascii="Bookman Old Style" w:hAnsi="Bookman Old Style"/>
          <w:sz w:val="26"/>
        </w:rPr>
        <w:t xml:space="preserve">For a general discussion of the pedestrian’s duty of care, see 3 Blashfield, </w:t>
      </w:r>
      <w:r>
        <w:rPr>
          <w:rFonts w:ascii="Bookman Old Style" w:hAnsi="Bookman Old Style"/>
          <w:sz w:val="26"/>
          <w:u w:val="single"/>
        </w:rPr>
        <w:t>Automobile Law Practice</w:t>
      </w:r>
      <w:r>
        <w:rPr>
          <w:rFonts w:ascii="Bookman Old Style" w:hAnsi="Bookman Old Style"/>
          <w:sz w:val="26"/>
        </w:rPr>
        <w:t>, § 141.41-141.53 (3d ed. 1965).  The definition of pedestrian is found in 13 Alaska Admin. Code § 40.010 (33) and Instruction 05.27.</w:t>
      </w:r>
    </w:p>
    <w:p w:rsidR="00000000" w:rsidRDefault="00555310">
      <w:pPr>
        <w:jc w:val="both"/>
        <w:rPr>
          <w:rFonts w:ascii="Bookman Old Style" w:hAnsi="Bookman Old Style"/>
          <w:sz w:val="26"/>
        </w:rPr>
      </w:pPr>
    </w:p>
    <w:p w:rsidR="00000000" w:rsidRDefault="00555310">
      <w:pPr>
        <w:jc w:val="both"/>
        <w:rPr>
          <w:rFonts w:ascii="Bookman Old Style" w:hAnsi="Bookman Old Style"/>
          <w:sz w:val="26"/>
        </w:rPr>
      </w:pPr>
      <w:r>
        <w:rPr>
          <w:rFonts w:ascii="Bookman Old Style" w:hAnsi="Bookman Old Style"/>
          <w:sz w:val="26"/>
        </w:rPr>
        <w:t>The pedestrian’s duty to exercise reasonable care usually is held to include the duty to maintain a proper lookout for approaching vehicles.  The p</w:t>
      </w:r>
      <w:r>
        <w:rPr>
          <w:rFonts w:ascii="Bookman Old Style" w:hAnsi="Bookman Old Style"/>
          <w:sz w:val="26"/>
        </w:rPr>
        <w:t xml:space="preserve">edestrian must make use of all his natural senses to discover the approach of an automobile and avoid being struck.  </w:t>
      </w:r>
      <w:r>
        <w:rPr>
          <w:rFonts w:ascii="Bookman Old Style" w:hAnsi="Bookman Old Style"/>
          <w:sz w:val="26"/>
          <w:u w:val="single"/>
        </w:rPr>
        <w:t>Rexford v. Saslow</w:t>
      </w:r>
      <w:r>
        <w:rPr>
          <w:rFonts w:ascii="Bookman Old Style" w:hAnsi="Bookman Old Style"/>
          <w:sz w:val="26"/>
        </w:rPr>
        <w:t xml:space="preserve">, 425 P.2d 611 (Alaska 1967); 3 Blashfield, </w:t>
      </w:r>
      <w:r>
        <w:rPr>
          <w:rFonts w:ascii="Bookman Old Style" w:hAnsi="Bookman Old Style"/>
          <w:sz w:val="26"/>
          <w:u w:val="single"/>
        </w:rPr>
        <w:t>Automobile Law and Practice</w:t>
      </w:r>
      <w:r>
        <w:rPr>
          <w:rFonts w:ascii="Bookman Old Style" w:hAnsi="Bookman Old Style"/>
          <w:sz w:val="26"/>
        </w:rPr>
        <w:t>, § 141.46 (3d ed. 1965).  This duty does not impose an absolute rule of law requiring a pedestrian to maintain a constant lookout under all circumstances.  The controlling standard remains the care which an ordinarily careful and prudent person would exercise for one’s own safety under similar circumstanc</w:t>
      </w:r>
      <w:r>
        <w:rPr>
          <w:rFonts w:ascii="Bookman Old Style" w:hAnsi="Bookman Old Style"/>
          <w:sz w:val="26"/>
        </w:rPr>
        <w:t>es.  See Annot., 45 A.L.R. 3d 658, for discussion of pedestrian failure to comply with statutes regulating pedestrian travel as affecting right to recover for injuries resulting from automobile collision.</w:t>
      </w:r>
    </w:p>
    <w:p w:rsidR="00000000" w:rsidRDefault="00555310">
      <w:pPr>
        <w:jc w:val="both"/>
        <w:rPr>
          <w:rFonts w:ascii="Bookman Old Style" w:hAnsi="Bookman Old Style"/>
          <w:sz w:val="26"/>
        </w:rPr>
      </w:pPr>
    </w:p>
    <w:p w:rsidR="00000000" w:rsidRDefault="00555310">
      <w:pPr>
        <w:jc w:val="both"/>
        <w:rPr>
          <w:rFonts w:ascii="Bookman Old Style" w:hAnsi="Bookman Old Style"/>
          <w:sz w:val="26"/>
        </w:rPr>
      </w:pPr>
      <w:r>
        <w:rPr>
          <w:rFonts w:ascii="Bookman Old Style" w:hAnsi="Bookman Old Style"/>
          <w:sz w:val="26"/>
        </w:rPr>
        <w:t xml:space="preserve">The general rule that a pedestrian has the right to assume that other travelers will exercise due care not to injure him and will obey all traffic regulations, has been implicitly accepted by the Alaska Supreme Court </w:t>
      </w:r>
      <w:r>
        <w:rPr>
          <w:rFonts w:ascii="Bookman Old Style" w:hAnsi="Bookman Old Style"/>
          <w:sz w:val="26"/>
        </w:rPr>
        <w:lastRenderedPageBreak/>
        <w:t xml:space="preserve">in </w:t>
      </w:r>
      <w:r>
        <w:rPr>
          <w:rFonts w:ascii="Bookman Old Style" w:hAnsi="Bookman Old Style"/>
          <w:sz w:val="26"/>
          <w:u w:val="single"/>
        </w:rPr>
        <w:t>Rexford v. Saslow</w:t>
      </w:r>
      <w:r>
        <w:rPr>
          <w:rFonts w:ascii="Bookman Old Style" w:hAnsi="Bookman Old Style"/>
          <w:sz w:val="26"/>
        </w:rPr>
        <w:t xml:space="preserve"> 425 P.2d at 613 (Alaska 1967).  </w:t>
      </w:r>
      <w:r>
        <w:rPr>
          <w:rFonts w:ascii="Bookman Old Style" w:hAnsi="Bookman Old Style"/>
          <w:sz w:val="26"/>
          <w:u w:val="single"/>
        </w:rPr>
        <w:t>See</w:t>
      </w:r>
      <w:r>
        <w:rPr>
          <w:rFonts w:ascii="Bookman Old Style" w:hAnsi="Bookman Old Style"/>
          <w:sz w:val="26"/>
        </w:rPr>
        <w:t xml:space="preserve"> 3 Blashfield, </w:t>
      </w:r>
      <w:r>
        <w:rPr>
          <w:rFonts w:ascii="Bookman Old Style" w:hAnsi="Bookman Old Style"/>
          <w:sz w:val="26"/>
          <w:u w:val="single"/>
        </w:rPr>
        <w:t>Automobile Law and</w:t>
      </w:r>
      <w:r>
        <w:rPr>
          <w:rFonts w:ascii="Bookman Old Style" w:hAnsi="Bookman Old Style"/>
          <w:sz w:val="26"/>
          <w:u w:val="single"/>
        </w:rPr>
        <w:t xml:space="preserve"> Practice</w:t>
      </w:r>
      <w:r>
        <w:rPr>
          <w:rFonts w:ascii="Bookman Old Style" w:hAnsi="Bookman Old Style"/>
          <w:sz w:val="26"/>
        </w:rPr>
        <w:t>, § 141.47, 141.52–53 (3d ed. 1965).</w:t>
      </w:r>
    </w:p>
    <w:p w:rsidR="00000000" w:rsidRDefault="00555310">
      <w:pPr>
        <w:jc w:val="both"/>
        <w:rPr>
          <w:rFonts w:ascii="Bookman Old Style" w:hAnsi="Bookman Old Style"/>
          <w:sz w:val="26"/>
        </w:rPr>
      </w:pPr>
    </w:p>
    <w:p w:rsidR="00000000" w:rsidRDefault="00555310">
      <w:pPr>
        <w:jc w:val="both"/>
        <w:rPr>
          <w:rFonts w:ascii="Bookman Old Style" w:hAnsi="Bookman Old Style"/>
          <w:sz w:val="26"/>
        </w:rPr>
      </w:pPr>
      <w:r>
        <w:rPr>
          <w:rFonts w:ascii="Bookman Old Style" w:hAnsi="Bookman Old Style"/>
          <w:sz w:val="26"/>
        </w:rPr>
        <w:t xml:space="preserve">A child capable of some degree of care and of taking some precautions for his own safety, who knows the danger from automobiles and has been warned by his parents to watch out for vehicles and not to play in the streets, is, as a matter of law, capable of contributory negligence.  </w:t>
      </w:r>
      <w:r>
        <w:rPr>
          <w:rFonts w:ascii="Bookman Old Style" w:hAnsi="Bookman Old Style"/>
          <w:sz w:val="26"/>
          <w:u w:val="single"/>
        </w:rPr>
        <w:t>Patterson v. Cushman</w:t>
      </w:r>
      <w:r>
        <w:rPr>
          <w:rFonts w:ascii="Bookman Old Style" w:hAnsi="Bookman Old Style"/>
          <w:sz w:val="26"/>
        </w:rPr>
        <w:t>, 394 P.2d 657, 660 (Alaska 1964).  See Annot., 16 A.L.R. 3d 25 for a discussion of age and mentality of child as affecting application of attractive nuisance doct</w:t>
      </w:r>
      <w:r>
        <w:rPr>
          <w:rFonts w:ascii="Bookman Old Style" w:hAnsi="Bookman Old Style"/>
          <w:sz w:val="26"/>
        </w:rPr>
        <w:t xml:space="preserve">rine.  </w:t>
      </w:r>
      <w:r>
        <w:rPr>
          <w:rFonts w:ascii="Bookman Old Style" w:hAnsi="Bookman Old Style"/>
          <w:sz w:val="26"/>
          <w:u w:val="single"/>
        </w:rPr>
        <w:t>See</w:t>
      </w:r>
      <w:r>
        <w:rPr>
          <w:rFonts w:ascii="Bookman Old Style" w:hAnsi="Bookman Old Style"/>
          <w:sz w:val="26"/>
        </w:rPr>
        <w:t xml:space="preserve"> </w:t>
      </w:r>
      <w:r>
        <w:rPr>
          <w:rFonts w:ascii="Bookman Old Style" w:hAnsi="Bookman Old Style"/>
          <w:sz w:val="26"/>
          <w:u w:val="single"/>
        </w:rPr>
        <w:t>also</w:t>
      </w:r>
      <w:r>
        <w:rPr>
          <w:rFonts w:ascii="Bookman Old Style" w:hAnsi="Bookman Old Style"/>
          <w:sz w:val="26"/>
        </w:rPr>
        <w:t>, Annot., 62 A.L.R. 3d 541 for discussion of whether parents where contributorily negligent in permitting a child to walk to school unattended, in action for injury or death of a child.</w:t>
      </w:r>
    </w:p>
    <w:p w:rsidR="00000000" w:rsidRDefault="00555310">
      <w:pPr>
        <w:jc w:val="both"/>
        <w:rPr>
          <w:rFonts w:ascii="Bookman Old Style" w:hAnsi="Bookman Old Style"/>
          <w:sz w:val="26"/>
        </w:rPr>
      </w:pPr>
    </w:p>
    <w:sectPr w:rsidR="00000000">
      <w:footerReference w:type="default" r:id="rId7"/>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5310">
      <w:r>
        <w:separator/>
      </w:r>
    </w:p>
  </w:endnote>
  <w:endnote w:type="continuationSeparator" w:id="0">
    <w:p w:rsidR="00000000" w:rsidRDefault="00555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5310">
    <w:pPr>
      <w:pStyle w:val="Footer"/>
      <w:tabs>
        <w:tab w:val="clear" w:pos="8640"/>
        <w:tab w:val="right" w:pos="9000"/>
      </w:tabs>
      <w:rPr>
        <w:rFonts w:ascii="Bookman Old Style" w:hAnsi="Bookman Old Style"/>
        <w:sz w:val="24"/>
      </w:rPr>
    </w:pPr>
    <w:r>
      <w:rPr>
        <w:rFonts w:ascii="Bookman Old Style" w:hAnsi="Bookman Old Style"/>
        <w:sz w:val="24"/>
      </w:rPr>
      <w:t>Revised 1986</w:t>
    </w:r>
    <w:r>
      <w:rPr>
        <w:rFonts w:ascii="Bookman Old Style" w:hAnsi="Bookman Old Style"/>
        <w:sz w:val="24"/>
      </w:rPr>
      <w:tab/>
    </w:r>
    <w:r>
      <w:rPr>
        <w:rFonts w:ascii="Bookman Old Style" w:hAnsi="Bookman Old Style"/>
        <w:sz w:val="24"/>
      </w:rPr>
      <w:tab/>
      <w:t xml:space="preserve">05.03 – </w:t>
    </w:r>
    <w:r>
      <w:rPr>
        <w:rStyle w:val="PageNumber"/>
        <w:rFonts w:ascii="Bookman Old Style" w:hAnsi="Bookman Old Style"/>
        <w:sz w:val="24"/>
      </w:rPr>
      <w:fldChar w:fldCharType="begin"/>
    </w:r>
    <w:r>
      <w:rPr>
        <w:rStyle w:val="PageNumber"/>
        <w:rFonts w:ascii="Bookman Old Style" w:hAnsi="Bookman Old Style"/>
        <w:sz w:val="24"/>
      </w:rPr>
      <w:instrText xml:space="preserve"> PAGE </w:instrText>
    </w:r>
    <w:r>
      <w:rPr>
        <w:rStyle w:val="PageNumber"/>
        <w:rFonts w:ascii="Bookman Old Style" w:hAnsi="Bookman Old Style"/>
        <w:sz w:val="24"/>
      </w:rPr>
      <w:fldChar w:fldCharType="separate"/>
    </w:r>
    <w:r w:rsidR="00E728F4">
      <w:rPr>
        <w:rStyle w:val="PageNumber"/>
        <w:rFonts w:ascii="Bookman Old Style" w:hAnsi="Bookman Old Style"/>
        <w:noProof/>
        <w:sz w:val="24"/>
      </w:rPr>
      <w:t>1</w:t>
    </w:r>
    <w:r>
      <w:rPr>
        <w:rStyle w:val="PageNumber"/>
        <w:rFonts w:ascii="Bookman Old Style" w:hAnsi="Bookman Old Style"/>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5310">
      <w:r>
        <w:separator/>
      </w:r>
    </w:p>
  </w:footnote>
  <w:footnote w:type="continuationSeparator" w:id="0">
    <w:p w:rsidR="00000000" w:rsidRDefault="00555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F4"/>
    <w:rsid w:val="00555310"/>
    <w:rsid w:val="00E7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pacing w:line="360" w:lineRule="auto"/>
      <w:jc w:val="both"/>
    </w:pPr>
    <w:rPr>
      <w:rFonts w:ascii="Bookman Old Style" w:hAnsi="Bookman Old Style"/>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360" w:lineRule="auto"/>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pacing w:line="360" w:lineRule="auto"/>
      <w:jc w:val="both"/>
    </w:pPr>
    <w:rPr>
      <w:rFonts w:ascii="Bookman Old Style" w:hAnsi="Bookman Old Style"/>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2132</Characters>
  <Application>Microsoft Office Word</Application>
  <DocSecurity>0</DocSecurity>
  <Lines>17</Lines>
  <Paragraphs>5</Paragraphs>
  <ScaleCrop>false</ScaleCrop>
  <Company>Alaska Court System</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dc:title>
  <dc:subject/>
  <dc:creator>korzechowski</dc:creator>
  <cp:keywords/>
  <dc:description/>
  <cp:lastModifiedBy>Michael Merrington</cp:lastModifiedBy>
  <cp:revision>3</cp:revision>
  <cp:lastPrinted>2000-12-20T23:15:00Z</cp:lastPrinted>
  <dcterms:created xsi:type="dcterms:W3CDTF">2017-04-04T18:38:00Z</dcterms:created>
  <dcterms:modified xsi:type="dcterms:W3CDTF">2017-04-04T18:38:00Z</dcterms:modified>
</cp:coreProperties>
</file>