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049A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07.03A</w:t>
      </w:r>
      <w:r>
        <w:rPr>
          <w:rFonts w:ascii="Bookman Old Style" w:hAnsi="Bookman Old Style"/>
          <w:b/>
          <w:sz w:val="26"/>
        </w:rPr>
        <w:tab/>
        <w:t>SCIENTIFIC UNKNOWABILITY</w:t>
      </w:r>
    </w:p>
    <w:p w:rsidR="00000000" w:rsidRDefault="0075049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A product is not defective under paragraphs 2, 3 or 4 of the preceding instruction with regard to any particular danger if the defendant proves it is more likely true than not true that that particular danger was not scien</w:t>
      </w:r>
      <w:r>
        <w:rPr>
          <w:rFonts w:ascii="Bookman Old Style" w:hAnsi="Bookman Old Style"/>
          <w:sz w:val="26"/>
        </w:rPr>
        <w:t>tifically knowable when the product left the defendant's possession.</w:t>
      </w:r>
    </w:p>
    <w:p w:rsidR="00000000" w:rsidRDefault="0075049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follow 07.03 when scientific unknowability is in issue.  As explained in the Use Note to 07.03, the supreme court has not expressly applied the defense</w:t>
      </w:r>
      <w:r>
        <w:rPr>
          <w:rFonts w:ascii="Bookman Old Style" w:hAnsi="Bookman Old Style"/>
          <w:sz w:val="26"/>
        </w:rPr>
        <w:t xml:space="preserve"> of scientific unknowability to design defects established by Paragraph (2) of 07.03 (the consumer expectations test).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Heritage v. Pioneer Brokerage &amp; Sales, Inc.</w:t>
      </w:r>
      <w:r>
        <w:rPr>
          <w:rFonts w:ascii="Bookman Old Style" w:hAnsi="Bookman Old Style"/>
          <w:sz w:val="26"/>
        </w:rPr>
        <w:t xml:space="preserve">, 604 P.2d 1059, 1063-64 (Alaska 1979); </w:t>
      </w:r>
      <w:r>
        <w:rPr>
          <w:rFonts w:ascii="Bookman Old Style" w:hAnsi="Bookman Old Style"/>
          <w:sz w:val="26"/>
          <w:u w:val="single"/>
        </w:rPr>
        <w:t>Caterpillar Tractor Co. v. Beck</w:t>
      </w:r>
      <w:r>
        <w:rPr>
          <w:rFonts w:ascii="Bookman Old Style" w:hAnsi="Bookman Old Style"/>
          <w:sz w:val="26"/>
        </w:rPr>
        <w:t>, 624 P.2d 790, 79</w:t>
      </w:r>
      <w:r>
        <w:rPr>
          <w:rFonts w:ascii="Bookman Old Style" w:hAnsi="Bookman Old Style"/>
          <w:sz w:val="26"/>
        </w:rPr>
        <w:t>2 (Alaska 1981) (Beck II).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the trial court rules that the defense of scientific unknowability does not apply to design defects proved by the consumer expectations test, the reference to paragraph 2 in the instruction should be omitted.  Also, if failur</w:t>
      </w:r>
      <w:r>
        <w:rPr>
          <w:rFonts w:ascii="Bookman Old Style" w:hAnsi="Bookman Old Style"/>
          <w:sz w:val="26"/>
        </w:rPr>
        <w:t>e to warn is not in issue, the reference to paragraph 3 should be omitted.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ab/>
      </w:r>
    </w:p>
    <w:p w:rsidR="00000000" w:rsidRDefault="0075049A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In </w:t>
      </w:r>
      <w:r>
        <w:rPr>
          <w:rFonts w:ascii="Bookman Old Style" w:hAnsi="Bookman Old Style"/>
          <w:sz w:val="26"/>
          <w:u w:val="single"/>
        </w:rPr>
        <w:t>Caterpillar Tractor Co. v. Beck</w:t>
      </w:r>
      <w:r>
        <w:rPr>
          <w:rFonts w:ascii="Bookman Old Style" w:hAnsi="Bookman Old Style"/>
          <w:sz w:val="26"/>
        </w:rPr>
        <w:t xml:space="preserve">, 593 P.2d 871 (Alaska 1979), the Alaska Supreme Court adopted a two-pronged test for defectively designed products.  Quoting </w:t>
      </w:r>
      <w:r>
        <w:rPr>
          <w:rFonts w:ascii="Bookman Old Style" w:hAnsi="Bookman Old Style"/>
          <w:sz w:val="26"/>
          <w:u w:val="single"/>
        </w:rPr>
        <w:t>Barker v.</w:t>
      </w:r>
      <w:r>
        <w:rPr>
          <w:rFonts w:ascii="Bookman Old Style" w:hAnsi="Bookman Old Style"/>
          <w:sz w:val="26"/>
          <w:u w:val="single"/>
        </w:rPr>
        <w:t xml:space="preserve"> Lull Engineering Co., Inc.</w:t>
      </w:r>
      <w:r>
        <w:rPr>
          <w:rFonts w:ascii="Bookman Old Style" w:hAnsi="Bookman Old Style"/>
          <w:sz w:val="26"/>
        </w:rPr>
        <w:t>, 20 Cal. 3d 413, 431, 143 Cal. Rptr. 225, 237, 573 P.2d 443, 455 (1978), the supreme court held that the fact-finder, in deciding the risk/benefit question (in the second definition of a design defect), must: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ind w:left="720" w:righ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consider and compa</w:t>
      </w:r>
      <w:r>
        <w:rPr>
          <w:rFonts w:ascii="Bookman Old Style" w:hAnsi="Bookman Old Style"/>
          <w:sz w:val="26"/>
        </w:rPr>
        <w:t xml:space="preserve">re a number of competing factors, including but not limited to, "the gravity of the danger posed </w:t>
      </w:r>
      <w:r>
        <w:rPr>
          <w:rFonts w:ascii="Bookman Old Style" w:hAnsi="Bookman Old Style"/>
          <w:sz w:val="26"/>
        </w:rPr>
        <w:lastRenderedPageBreak/>
        <w:t>by the challenged design, the likelihood that such danger would occur, the mechanical feasibility of a safer alternative design, the financial cost of an impro</w:t>
      </w:r>
      <w:r>
        <w:rPr>
          <w:rFonts w:ascii="Bookman Old Style" w:hAnsi="Bookman Old Style"/>
          <w:sz w:val="26"/>
        </w:rPr>
        <w:t>ved design, the adverse consequences to the product and to the consumer that would result from an alternative design."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>Caterpillar Tractor Co. v. Beck</w:t>
      </w:r>
      <w:r>
        <w:rPr>
          <w:rFonts w:ascii="Bookman Old Style" w:hAnsi="Bookman Old Style"/>
          <w:sz w:val="26"/>
        </w:rPr>
        <w:t>, 593 P.2d at 885-86.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In </w:t>
      </w:r>
      <w:r>
        <w:rPr>
          <w:rFonts w:ascii="Bookman Old Style" w:hAnsi="Bookman Old Style"/>
          <w:sz w:val="26"/>
          <w:u w:val="single"/>
        </w:rPr>
        <w:t>Heritage v. Pioneer Brokerage &amp; Sales, Inc.</w:t>
      </w:r>
      <w:r>
        <w:rPr>
          <w:rFonts w:ascii="Bookman Old Style" w:hAnsi="Bookman Old Style"/>
          <w:sz w:val="26"/>
        </w:rPr>
        <w:t>, 604 P.2d 1059 (Alaska 1979) the co</w:t>
      </w:r>
      <w:r>
        <w:rPr>
          <w:rFonts w:ascii="Bookman Old Style" w:hAnsi="Bookman Old Style"/>
          <w:sz w:val="26"/>
        </w:rPr>
        <w:t xml:space="preserve">urt approved consideration of the "scientific knowability" of the danger inherent in the product.  The court has indicated in a second prong design defect case that scientific unknowability is a defense.  </w:t>
      </w:r>
      <w:r>
        <w:rPr>
          <w:rFonts w:ascii="Bookman Old Style" w:hAnsi="Bookman Old Style"/>
          <w:sz w:val="26"/>
          <w:u w:val="single"/>
        </w:rPr>
        <w:t>Beck II</w:t>
      </w:r>
      <w:r>
        <w:rPr>
          <w:rFonts w:ascii="Bookman Old Style" w:hAnsi="Bookman Old Style"/>
          <w:sz w:val="26"/>
        </w:rPr>
        <w:t>, 624 P.2d at 793 n.4.  Scientific unknowabi</w:t>
      </w:r>
      <w:r>
        <w:rPr>
          <w:rFonts w:ascii="Bookman Old Style" w:hAnsi="Bookman Old Style"/>
          <w:sz w:val="26"/>
        </w:rPr>
        <w:t xml:space="preserve">lity is also a defense in a failure to warn case.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Shanks v. Upjohn Co.</w:t>
      </w:r>
      <w:r>
        <w:rPr>
          <w:rFonts w:ascii="Bookman Old Style" w:hAnsi="Bookman Old Style"/>
          <w:sz w:val="26"/>
        </w:rPr>
        <w:t>, 835 P.2d 1189 (Alaska 1992).</w:t>
      </w:r>
    </w:p>
    <w:p w:rsidR="00000000" w:rsidRDefault="0075049A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049A">
      <w:r>
        <w:separator/>
      </w:r>
    </w:p>
  </w:endnote>
  <w:endnote w:type="continuationSeparator" w:id="0">
    <w:p w:rsidR="00000000" w:rsidRDefault="0075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049A">
    <w:pPr>
      <w:pStyle w:val="Footer"/>
      <w:tabs>
        <w:tab w:val="clear" w:pos="8640"/>
        <w:tab w:val="right" w:pos="9000"/>
      </w:tabs>
      <w:rPr>
        <w:rFonts w:ascii="Bookman Old Style" w:hAnsi="Bookman Old Style"/>
      </w:rPr>
    </w:pPr>
    <w:r>
      <w:rPr>
        <w:rFonts w:ascii="Bookman Old Style" w:hAnsi="Bookman Old Style"/>
      </w:rPr>
      <w:t>Revised 1995</w:t>
    </w:r>
    <w:r>
      <w:rPr>
        <w:rFonts w:ascii="Bookman Old Style" w:hAnsi="Bookman Old Style"/>
      </w:rPr>
      <w:tab/>
    </w:r>
    <w:r>
      <w:rPr>
        <w:rFonts w:ascii="Bookman Old Style" w:hAnsi="Bookman Old Style"/>
      </w:rPr>
      <w:tab/>
      <w:t xml:space="preserve">07.03A – </w:t>
    </w:r>
    <w:r>
      <w:rPr>
        <w:rStyle w:val="PageNumber"/>
        <w:rFonts w:ascii="Bookman Old Style" w:hAnsi="Bookman Old Style"/>
      </w:rPr>
      <w:fldChar w:fldCharType="begin"/>
    </w:r>
    <w:r>
      <w:rPr>
        <w:rStyle w:val="PageNumber"/>
        <w:rFonts w:ascii="Bookman Old Style" w:hAnsi="Bookman Old Style"/>
      </w:rPr>
      <w:instrText xml:space="preserve"> PAGE </w:instrText>
    </w:r>
    <w:r>
      <w:rPr>
        <w:rStyle w:val="PageNumber"/>
        <w:rFonts w:ascii="Bookman Old Style" w:hAnsi="Bookman Old Style"/>
      </w:rPr>
      <w:fldChar w:fldCharType="separate"/>
    </w:r>
    <w:r w:rsidR="008E5F51">
      <w:rPr>
        <w:rStyle w:val="PageNumber"/>
        <w:rFonts w:ascii="Bookman Old Style" w:hAnsi="Bookman Old Style"/>
        <w:noProof/>
      </w:rPr>
      <w:t>1</w:t>
    </w:r>
    <w:r>
      <w:rPr>
        <w:rStyle w:val="PageNumber"/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049A">
      <w:r>
        <w:separator/>
      </w:r>
    </w:p>
  </w:footnote>
  <w:footnote w:type="continuationSeparator" w:id="0">
    <w:p w:rsidR="00000000" w:rsidRDefault="00750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F51"/>
    <w:rsid w:val="0075049A"/>
    <w:rsid w:val="008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Alaska Court System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korzechowski</dc:creator>
  <cp:keywords/>
  <cp:lastModifiedBy>Michael Merrington</cp:lastModifiedBy>
  <cp:revision>3</cp:revision>
  <cp:lastPrinted>2000-08-16T23:28:00Z</cp:lastPrinted>
  <dcterms:created xsi:type="dcterms:W3CDTF">2017-04-04T18:48:00Z</dcterms:created>
  <dcterms:modified xsi:type="dcterms:W3CDTF">2017-04-04T18:48:00Z</dcterms:modified>
</cp:coreProperties>
</file>