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7B65">
      <w:pPr>
        <w:spacing w:line="360" w:lineRule="auto"/>
        <w:jc w:val="both"/>
        <w:rPr>
          <w:rFonts w:ascii="Bookman Old Style" w:hAnsi="Bookman Old Style"/>
          <w:b/>
          <w:sz w:val="26"/>
        </w:rPr>
      </w:pPr>
      <w:bookmarkStart w:id="0" w:name="_GoBack"/>
      <w:bookmarkEnd w:id="0"/>
      <w:r>
        <w:rPr>
          <w:rFonts w:ascii="Bookman Old Style" w:hAnsi="Bookman Old Style"/>
          <w:b/>
          <w:sz w:val="26"/>
        </w:rPr>
        <w:t>07.07</w:t>
      </w:r>
      <w:r>
        <w:rPr>
          <w:rFonts w:ascii="Bookman Old Style" w:hAnsi="Bookman Old Style"/>
          <w:b/>
          <w:sz w:val="26"/>
        </w:rPr>
        <w:tab/>
        <w:t>STRICT LIABILITY IN TORT – LEGAL CAUSE</w:t>
      </w:r>
    </w:p>
    <w:p w:rsidR="00000000" w:rsidRDefault="00207B65">
      <w:pPr>
        <w:spacing w:line="360" w:lineRule="auto"/>
        <w:jc w:val="both"/>
        <w:rPr>
          <w:rFonts w:ascii="Bookman Old Style" w:hAnsi="Bookman Old Style"/>
          <w:b/>
          <w:sz w:val="26"/>
        </w:rPr>
      </w:pPr>
    </w:p>
    <w:p w:rsidR="00000000" w:rsidRDefault="00207B65">
      <w:pPr>
        <w:spacing w:line="360" w:lineRule="auto"/>
        <w:jc w:val="both"/>
        <w:rPr>
          <w:rFonts w:ascii="Bookman Old Style" w:hAnsi="Bookman Old Style"/>
          <w:sz w:val="26"/>
        </w:rPr>
      </w:pPr>
    </w:p>
    <w:p w:rsidR="00000000" w:rsidRDefault="00207B65">
      <w:pPr>
        <w:pStyle w:val="BodyText"/>
        <w:jc w:val="both"/>
      </w:pPr>
      <w:r>
        <w:t>I will now define “legal cause” for you.  A defective condition in a product is a legal cause of harm if it is a substantial factor in bringing about the harm.</w:t>
      </w:r>
    </w:p>
    <w:p w:rsidR="00000000" w:rsidRDefault="00207B65">
      <w:pPr>
        <w:spacing w:line="360" w:lineRule="auto"/>
        <w:jc w:val="both"/>
        <w:rPr>
          <w:rFonts w:ascii="Bookman Old Style" w:hAnsi="Bookman Old Style"/>
          <w:sz w:val="26"/>
        </w:rPr>
      </w:pPr>
    </w:p>
    <w:p w:rsidR="00000000" w:rsidRDefault="00207B65">
      <w:pPr>
        <w:spacing w:line="360" w:lineRule="auto"/>
        <w:jc w:val="both"/>
        <w:rPr>
          <w:rFonts w:ascii="Bookman Old Style" w:hAnsi="Bookman Old Style"/>
          <w:sz w:val="26"/>
        </w:rPr>
      </w:pPr>
      <w:r>
        <w:rPr>
          <w:rFonts w:ascii="Bookman Old Style" w:hAnsi="Bookman Old Style"/>
          <w:sz w:val="26"/>
        </w:rPr>
        <w:t>A defective condition in a product is a substant</w:t>
      </w:r>
      <w:r>
        <w:rPr>
          <w:rFonts w:ascii="Bookman Old Style" w:hAnsi="Bookman Old Style"/>
          <w:sz w:val="26"/>
        </w:rPr>
        <w:t>ial factor in bringing about the harm if it is more likely true than not true that:</w:t>
      </w:r>
    </w:p>
    <w:p w:rsidR="00000000" w:rsidRDefault="00207B65">
      <w:pPr>
        <w:spacing w:line="360" w:lineRule="auto"/>
        <w:jc w:val="both"/>
        <w:rPr>
          <w:rFonts w:ascii="Bookman Old Style" w:hAnsi="Bookman Old Style"/>
          <w:sz w:val="26"/>
        </w:rPr>
      </w:pPr>
    </w:p>
    <w:p w:rsidR="00000000" w:rsidRDefault="00207B65">
      <w:pPr>
        <w:spacing w:line="360" w:lineRule="auto"/>
        <w:ind w:left="720" w:hanging="720"/>
        <w:jc w:val="both"/>
        <w:rPr>
          <w:rFonts w:ascii="Bookman Old Style" w:hAnsi="Bookman Old Style"/>
          <w:sz w:val="26"/>
        </w:rPr>
      </w:pPr>
      <w:r>
        <w:rPr>
          <w:rFonts w:ascii="Bookman Old Style" w:hAnsi="Bookman Old Style"/>
          <w:sz w:val="26"/>
        </w:rPr>
        <w:t>(1)</w:t>
      </w:r>
      <w:r>
        <w:rPr>
          <w:rFonts w:ascii="Bookman Old Style" w:hAnsi="Bookman Old Style"/>
          <w:sz w:val="26"/>
        </w:rPr>
        <w:tab/>
        <w:t>the defective condition in the product was so important in bringing about the harm that a reasonable person would regard it as a cause and attach responsibility to it;</w:t>
      </w:r>
      <w:r>
        <w:rPr>
          <w:rFonts w:ascii="Bookman Old Style" w:hAnsi="Bookman Old Style"/>
          <w:sz w:val="26"/>
        </w:rPr>
        <w:t xml:space="preserve"> and</w:t>
      </w:r>
    </w:p>
    <w:p w:rsidR="00000000" w:rsidRDefault="00207B65">
      <w:pPr>
        <w:spacing w:line="360" w:lineRule="auto"/>
        <w:ind w:left="720" w:hanging="720"/>
        <w:jc w:val="both"/>
        <w:rPr>
          <w:rFonts w:ascii="Bookman Old Style" w:hAnsi="Bookman Old Style"/>
          <w:sz w:val="26"/>
        </w:rPr>
      </w:pPr>
    </w:p>
    <w:p w:rsidR="00000000" w:rsidRDefault="00207B65">
      <w:pPr>
        <w:pStyle w:val="BodyTextIndent"/>
      </w:pPr>
      <w:r>
        <w:t>(2)</w:t>
      </w:r>
      <w:r>
        <w:tab/>
        <w:t>the harm would not have occurred but for the defective condition of the product.  (There is, however, one exception to the requirement that the harm would not have occurred but for the defective condition.  If two separate forces operated to caus</w:t>
      </w:r>
      <w:r>
        <w:t>e the harm, one because of the defective condition of the product and the other not, and each force by itself was sufficient to cause the harm, then the defective condition is a legal cause of the harm if you decide that the defective condition was so impo</w:t>
      </w:r>
      <w:r>
        <w:t>rtant in bringing about the harm that a reasonable person would regard the defective condition as a cause and attach responsibility to it).</w:t>
      </w:r>
    </w:p>
    <w:p w:rsidR="00000000" w:rsidRDefault="00207B65">
      <w:pPr>
        <w:spacing w:line="360" w:lineRule="auto"/>
        <w:jc w:val="both"/>
        <w:rPr>
          <w:rFonts w:ascii="Bookman Old Style" w:hAnsi="Bookman Old Style"/>
          <w:sz w:val="26"/>
        </w:rPr>
      </w:pPr>
    </w:p>
    <w:p w:rsidR="00000000" w:rsidRDefault="00207B65">
      <w:pPr>
        <w:spacing w:line="360" w:lineRule="auto"/>
        <w:jc w:val="both"/>
        <w:rPr>
          <w:rFonts w:ascii="Bookman Old Style" w:hAnsi="Bookman Old Style"/>
          <w:sz w:val="26"/>
        </w:rPr>
      </w:pPr>
    </w:p>
    <w:p w:rsidR="00000000" w:rsidRDefault="00207B65">
      <w:pPr>
        <w:spacing w:line="360" w:lineRule="auto"/>
        <w:jc w:val="both"/>
        <w:rPr>
          <w:rFonts w:ascii="Bookman Old Style" w:hAnsi="Bookman Old Style"/>
          <w:sz w:val="26"/>
        </w:rPr>
      </w:pPr>
    </w:p>
    <w:p w:rsidR="00000000" w:rsidRDefault="00207B65">
      <w:pPr>
        <w:spacing w:line="360" w:lineRule="auto"/>
        <w:jc w:val="both"/>
        <w:rPr>
          <w:rFonts w:ascii="Bookman Old Style" w:hAnsi="Bookman Old Style"/>
          <w:sz w:val="26"/>
        </w:rPr>
      </w:pPr>
    </w:p>
    <w:p w:rsidR="00000000" w:rsidRDefault="00207B65">
      <w:pPr>
        <w:pStyle w:val="Heading1"/>
      </w:pPr>
      <w:r>
        <w:lastRenderedPageBreak/>
        <w:t>Use Note</w:t>
      </w:r>
    </w:p>
    <w:p w:rsidR="00000000" w:rsidRDefault="00207B65">
      <w:pPr>
        <w:jc w:val="both"/>
        <w:rPr>
          <w:rFonts w:ascii="Bookman Old Style" w:hAnsi="Bookman Old Style"/>
          <w:sz w:val="26"/>
        </w:rPr>
      </w:pPr>
    </w:p>
    <w:p w:rsidR="00000000" w:rsidRDefault="00207B65">
      <w:pPr>
        <w:jc w:val="both"/>
        <w:rPr>
          <w:rFonts w:ascii="Bookman Old Style" w:hAnsi="Bookman Old Style"/>
          <w:sz w:val="26"/>
        </w:rPr>
      </w:pPr>
      <w:r>
        <w:rPr>
          <w:rFonts w:ascii="Bookman Old Style" w:hAnsi="Bookman Old Style"/>
          <w:sz w:val="26"/>
        </w:rPr>
        <w:t>This instruction should be used as the proximate cause instruction in products liability cases.</w:t>
      </w:r>
    </w:p>
    <w:p w:rsidR="00000000" w:rsidRDefault="00207B65">
      <w:pPr>
        <w:jc w:val="both"/>
        <w:rPr>
          <w:rFonts w:ascii="Bookman Old Style" w:hAnsi="Bookman Old Style"/>
          <w:sz w:val="26"/>
        </w:rPr>
      </w:pPr>
      <w:r>
        <w:rPr>
          <w:rFonts w:ascii="Bookman Old Style" w:hAnsi="Bookman Old Style"/>
          <w:sz w:val="26"/>
        </w:rPr>
        <w:t>The br</w:t>
      </w:r>
      <w:r>
        <w:rPr>
          <w:rFonts w:ascii="Bookman Old Style" w:hAnsi="Bookman Old Style"/>
          <w:sz w:val="26"/>
        </w:rPr>
        <w:t xml:space="preserve">acketed language must be included if two or more forces are claimed to have operated to bring about the injury and each of them operating alone is sufficient to cause the injury.  </w:t>
      </w:r>
      <w:r>
        <w:rPr>
          <w:rFonts w:ascii="Bookman Old Style" w:hAnsi="Bookman Old Style"/>
          <w:sz w:val="26"/>
          <w:u w:val="single"/>
        </w:rPr>
        <w:t>E.g.</w:t>
      </w:r>
      <w:r>
        <w:rPr>
          <w:rFonts w:ascii="Bookman Old Style" w:hAnsi="Bookman Old Style"/>
          <w:sz w:val="26"/>
        </w:rPr>
        <w:t xml:space="preserve">, </w:t>
      </w:r>
      <w:r>
        <w:rPr>
          <w:rFonts w:ascii="Bookman Old Style" w:hAnsi="Bookman Old Style"/>
          <w:sz w:val="26"/>
          <w:u w:val="single"/>
        </w:rPr>
        <w:t>Yukon Equipment Inc. v. Gordon</w:t>
      </w:r>
      <w:r>
        <w:rPr>
          <w:rFonts w:ascii="Bookman Old Style" w:hAnsi="Bookman Old Style"/>
          <w:sz w:val="26"/>
        </w:rPr>
        <w:t>, 660 P.2d 428 (Alaska 1983).</w:t>
      </w:r>
    </w:p>
    <w:p w:rsidR="00000000" w:rsidRDefault="00207B65">
      <w:pPr>
        <w:jc w:val="both"/>
        <w:rPr>
          <w:rFonts w:ascii="Bookman Old Style" w:hAnsi="Bookman Old Style"/>
          <w:sz w:val="26"/>
        </w:rPr>
      </w:pPr>
    </w:p>
    <w:p w:rsidR="00000000" w:rsidRDefault="00207B65">
      <w:pPr>
        <w:jc w:val="both"/>
        <w:rPr>
          <w:rFonts w:ascii="Bookman Old Style" w:hAnsi="Bookman Old Style"/>
          <w:sz w:val="26"/>
        </w:rPr>
      </w:pPr>
      <w:r>
        <w:rPr>
          <w:rFonts w:ascii="Bookman Old Style" w:hAnsi="Bookman Old Style"/>
          <w:sz w:val="26"/>
        </w:rPr>
        <w:t>If multip</w:t>
      </w:r>
      <w:r>
        <w:rPr>
          <w:rFonts w:ascii="Bookman Old Style" w:hAnsi="Bookman Old Style"/>
          <w:sz w:val="26"/>
        </w:rPr>
        <w:t xml:space="preserve">le or superseding causes are raised by the evidence, instructions on those doctrines should be given immediately following this instruction.  </w:t>
      </w:r>
      <w:r>
        <w:rPr>
          <w:rFonts w:ascii="Bookman Old Style" w:hAnsi="Bookman Old Style"/>
          <w:sz w:val="26"/>
          <w:u w:val="single"/>
        </w:rPr>
        <w:t>See</w:t>
      </w:r>
      <w:r>
        <w:rPr>
          <w:rFonts w:ascii="Bookman Old Style" w:hAnsi="Bookman Old Style"/>
          <w:sz w:val="26"/>
        </w:rPr>
        <w:t xml:space="preserve"> Instruction 07.08.</w:t>
      </w:r>
    </w:p>
    <w:p w:rsidR="00000000" w:rsidRDefault="00207B65">
      <w:pPr>
        <w:jc w:val="both"/>
        <w:rPr>
          <w:rFonts w:ascii="Bookman Old Style" w:hAnsi="Bookman Old Style"/>
          <w:sz w:val="26"/>
        </w:rPr>
      </w:pPr>
    </w:p>
    <w:p w:rsidR="00000000" w:rsidRDefault="00207B65">
      <w:pPr>
        <w:pStyle w:val="Heading1"/>
      </w:pPr>
      <w:r>
        <w:t>Comment</w:t>
      </w:r>
    </w:p>
    <w:p w:rsidR="00000000" w:rsidRDefault="00207B65">
      <w:pPr>
        <w:jc w:val="both"/>
        <w:rPr>
          <w:rFonts w:ascii="Bookman Old Style" w:hAnsi="Bookman Old Style"/>
          <w:sz w:val="26"/>
        </w:rPr>
      </w:pPr>
    </w:p>
    <w:p w:rsidR="00000000" w:rsidRDefault="00207B65">
      <w:pPr>
        <w:jc w:val="both"/>
        <w:rPr>
          <w:rFonts w:ascii="Bookman Old Style" w:hAnsi="Bookman Old Style"/>
          <w:sz w:val="26"/>
        </w:rPr>
      </w:pPr>
      <w:r>
        <w:rPr>
          <w:rFonts w:ascii="Bookman Old Style" w:hAnsi="Bookman Old Style"/>
          <w:sz w:val="26"/>
          <w:u w:val="single"/>
        </w:rPr>
        <w:t>See</w:t>
      </w:r>
      <w:r>
        <w:rPr>
          <w:rFonts w:ascii="Bookman Old Style" w:hAnsi="Bookman Old Style"/>
          <w:sz w:val="26"/>
        </w:rPr>
        <w:t xml:space="preserve"> Comment to Instruction 03.06 and 03.07.</w:t>
      </w:r>
    </w:p>
    <w:p w:rsidR="00000000" w:rsidRDefault="00207B65">
      <w:pPr>
        <w:jc w:val="both"/>
        <w:rPr>
          <w:rFonts w:ascii="Bookman Old Style" w:hAnsi="Bookman Old Style"/>
          <w:sz w:val="26"/>
        </w:rPr>
      </w:pPr>
    </w:p>
    <w:p w:rsidR="00000000" w:rsidRDefault="00207B65">
      <w:pPr>
        <w:jc w:val="both"/>
        <w:rPr>
          <w:rFonts w:ascii="Bookman Old Style" w:hAnsi="Bookman Old Style"/>
          <w:sz w:val="26"/>
        </w:rPr>
      </w:pPr>
      <w:r>
        <w:rPr>
          <w:rFonts w:ascii="Bookman Old Style" w:hAnsi="Bookman Old Style"/>
          <w:sz w:val="26"/>
        </w:rPr>
        <w:t>The Alaska Supreme Court has recogni</w:t>
      </w:r>
      <w:r>
        <w:rPr>
          <w:rFonts w:ascii="Bookman Old Style" w:hAnsi="Bookman Old Style"/>
          <w:sz w:val="26"/>
        </w:rPr>
        <w:t xml:space="preserve">zed that the “substantial factor” test governs product liability actions.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e.g.</w:t>
      </w:r>
      <w:r>
        <w:rPr>
          <w:rFonts w:ascii="Bookman Old Style" w:hAnsi="Bookman Old Style"/>
          <w:sz w:val="26"/>
        </w:rPr>
        <w:t xml:space="preserve">, </w:t>
      </w:r>
      <w:r>
        <w:rPr>
          <w:rFonts w:ascii="Bookman Old Style" w:hAnsi="Bookman Old Style"/>
          <w:sz w:val="26"/>
          <w:u w:val="single"/>
        </w:rPr>
        <w:t>Dura Corp. v. Harned</w:t>
      </w:r>
      <w:r>
        <w:rPr>
          <w:rFonts w:ascii="Bookman Old Style" w:hAnsi="Bookman Old Style"/>
          <w:sz w:val="26"/>
        </w:rPr>
        <w:t xml:space="preserve">, 703 P.2d 396, 406 (Alaska 1985); </w:t>
      </w:r>
      <w:r>
        <w:rPr>
          <w:rFonts w:ascii="Bookman Old Style" w:hAnsi="Bookman Old Style"/>
          <w:sz w:val="26"/>
          <w:u w:val="single"/>
        </w:rPr>
        <w:t>Keogh v. W.R. Grasle, Inc.</w:t>
      </w:r>
      <w:r>
        <w:rPr>
          <w:rFonts w:ascii="Bookman Old Style" w:hAnsi="Bookman Old Style"/>
          <w:sz w:val="26"/>
        </w:rPr>
        <w:t xml:space="preserve">, 816 P.2d 1343, 1347 (Alaska 1991).  </w:t>
      </w:r>
      <w:r>
        <w:rPr>
          <w:rFonts w:ascii="Bookman Old Style" w:hAnsi="Bookman Old Style"/>
          <w:sz w:val="26"/>
          <w:u w:val="single"/>
        </w:rPr>
        <w:t>Cf.</w:t>
      </w:r>
      <w:r>
        <w:rPr>
          <w:rFonts w:ascii="Bookman Old Style" w:hAnsi="Bookman Old Style"/>
          <w:sz w:val="26"/>
        </w:rPr>
        <w:t xml:space="preserve"> </w:t>
      </w:r>
      <w:r>
        <w:rPr>
          <w:rFonts w:ascii="Bookman Old Style" w:hAnsi="Bookman Old Style"/>
          <w:sz w:val="26"/>
          <w:u w:val="single"/>
        </w:rPr>
        <w:t>Vincent v. Fairbanks Memorial Hospital</w:t>
      </w:r>
      <w:r>
        <w:rPr>
          <w:rFonts w:ascii="Bookman Old Style" w:hAnsi="Bookman Old Style"/>
          <w:sz w:val="26"/>
        </w:rPr>
        <w:t>, 862 P.2</w:t>
      </w:r>
      <w:r>
        <w:rPr>
          <w:rFonts w:ascii="Bookman Old Style" w:hAnsi="Bookman Old Style"/>
          <w:sz w:val="26"/>
        </w:rPr>
        <w:t>d 847 (Alaska 1993) (discussing similar legal cause concepts and instructions in negligence action).</w:t>
      </w:r>
    </w:p>
    <w:p w:rsidR="00000000" w:rsidRDefault="00207B65">
      <w:pPr>
        <w:jc w:val="both"/>
        <w:rPr>
          <w:rFonts w:ascii="Bookman Old Style" w:hAnsi="Bookman Old Style"/>
          <w:sz w:val="26"/>
        </w:rPr>
      </w:pPr>
    </w:p>
    <w:p w:rsidR="00000000" w:rsidRDefault="00207B65">
      <w:pPr>
        <w:jc w:val="both"/>
        <w:rPr>
          <w:rFonts w:ascii="Bookman Old Style" w:hAnsi="Bookman Old Style"/>
          <w:sz w:val="26"/>
        </w:rPr>
      </w:pPr>
    </w:p>
    <w:sectPr w:rsidR="00000000">
      <w:footerReference w:type="default" r:id="rId7"/>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7B65">
      <w:r>
        <w:separator/>
      </w:r>
    </w:p>
  </w:endnote>
  <w:endnote w:type="continuationSeparator" w:id="0">
    <w:p w:rsidR="00000000" w:rsidRDefault="0020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7B65">
    <w:pPr>
      <w:pStyle w:val="Footer"/>
      <w:rPr>
        <w:rFonts w:ascii="Bookman Old Style" w:hAnsi="Bookman Old Style"/>
      </w:rPr>
    </w:pPr>
    <w:r>
      <w:rPr>
        <w:rFonts w:ascii="Bookman Old Style" w:hAnsi="Bookman Old Style"/>
      </w:rPr>
      <w:t>Revised 1995</w:t>
    </w:r>
    <w:r>
      <w:rPr>
        <w:rFonts w:ascii="Bookman Old Style" w:hAnsi="Bookman Old Style"/>
      </w:rPr>
      <w:tab/>
    </w:r>
    <w:r>
      <w:rPr>
        <w:rFonts w:ascii="Bookman Old Style" w:hAnsi="Bookman Old Style"/>
      </w:rPr>
      <w:tab/>
      <w:t xml:space="preserve">07.07 – </w:t>
    </w:r>
    <w:r>
      <w:rPr>
        <w:rStyle w:val="PageNumber"/>
        <w:rFonts w:ascii="Bookman Old Style" w:hAnsi="Bookman Old Style"/>
      </w:rPr>
      <w:fldChar w:fldCharType="begin"/>
    </w:r>
    <w:r>
      <w:rPr>
        <w:rStyle w:val="PageNumber"/>
        <w:rFonts w:ascii="Bookman Old Style" w:hAnsi="Bookman Old Style"/>
      </w:rPr>
      <w:instrText xml:space="preserve"> PAGE </w:instrText>
    </w:r>
    <w:r>
      <w:rPr>
        <w:rStyle w:val="PageNumber"/>
        <w:rFonts w:ascii="Bookman Old Style" w:hAnsi="Bookman Old Style"/>
      </w:rPr>
      <w:fldChar w:fldCharType="separate"/>
    </w:r>
    <w:r w:rsidR="00842319">
      <w:rPr>
        <w:rStyle w:val="PageNumber"/>
        <w:rFonts w:ascii="Bookman Old Style" w:hAnsi="Bookman Old Style"/>
        <w:noProof/>
      </w:rPr>
      <w:t>1</w:t>
    </w:r>
    <w:r>
      <w:rPr>
        <w:rStyle w:val="PageNumber"/>
        <w:rFonts w:ascii="Bookman Old Style" w:hAnsi="Bookman Old Sty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7B65">
      <w:r>
        <w:separator/>
      </w:r>
    </w:p>
  </w:footnote>
  <w:footnote w:type="continuationSeparator" w:id="0">
    <w:p w:rsidR="00000000" w:rsidRDefault="00207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19"/>
    <w:rsid w:val="00207B65"/>
    <w:rsid w:val="0084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360" w:lineRule="auto"/>
      <w:ind w:left="720" w:hanging="720"/>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line="360" w:lineRule="auto"/>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spacing w:line="360" w:lineRule="auto"/>
      <w:ind w:left="720" w:hanging="720"/>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07</vt:lpstr>
    </vt:vector>
  </TitlesOfParts>
  <Company>Alaska Court System</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dc:title>
  <dc:subject/>
  <dc:creator>korzechowski</dc:creator>
  <cp:keywords/>
  <cp:lastModifiedBy>Michael Merrington</cp:lastModifiedBy>
  <cp:revision>3</cp:revision>
  <cp:lastPrinted>2000-08-17T22:35:00Z</cp:lastPrinted>
  <dcterms:created xsi:type="dcterms:W3CDTF">2017-04-04T18:49:00Z</dcterms:created>
  <dcterms:modified xsi:type="dcterms:W3CDTF">2017-04-04T18:49:00Z</dcterms:modified>
</cp:coreProperties>
</file>