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0A24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bookmarkStart w:id="0" w:name="_GoBack"/>
      <w:bookmarkEnd w:id="0"/>
      <w:r>
        <w:rPr>
          <w:rFonts w:ascii="Bookman Old Style" w:hAnsi="Bookman Old Style"/>
          <w:sz w:val="26"/>
        </w:rPr>
        <w:t>07.08A</w:t>
      </w:r>
      <w:r>
        <w:rPr>
          <w:rFonts w:ascii="Bookman Old Style" w:hAnsi="Bookman Old Style"/>
          <w:sz w:val="26"/>
        </w:rPr>
        <w:tab/>
        <w:t>STRICT LIABILITY IN TORT – SUPERSEDING CAUSE</w:t>
      </w:r>
    </w:p>
    <w:p w:rsidR="00000000" w:rsidRDefault="00D70A24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70A24">
      <w:pPr>
        <w:pStyle w:val="BodyText"/>
        <w:spacing w:before="120" w:after="120" w:line="360" w:lineRule="auto"/>
        <w:rPr>
          <w:rFonts w:ascii="Bookman Old Style" w:hAnsi="Bookman Old Style"/>
          <w:i w:val="0"/>
          <w:sz w:val="24"/>
        </w:rPr>
      </w:pPr>
      <w:r>
        <w:rPr>
          <w:rFonts w:ascii="Bookman Old Style" w:hAnsi="Bookman Old Style"/>
          <w:i w:val="0"/>
          <w:sz w:val="26"/>
        </w:rPr>
        <w:tab/>
        <w:t>The defendant claims that if the product was defective, the defect in the product was not a legal cause of plaintiff's harm because another act or occurrence was a superseding cause of the plaintiff's h</w:t>
      </w:r>
      <w:r>
        <w:rPr>
          <w:rFonts w:ascii="Bookman Old Style" w:hAnsi="Bookman Old Style"/>
          <w:i w:val="0"/>
          <w:sz w:val="26"/>
        </w:rPr>
        <w:t xml:space="preserve">arm.  </w:t>
      </w:r>
      <w:r>
        <w:rPr>
          <w:rFonts w:ascii="Bookman Old Style" w:hAnsi="Bookman Old Style"/>
          <w:i w:val="0"/>
          <w:sz w:val="24"/>
        </w:rPr>
        <w:t xml:space="preserve">A defect in a product is not a legal cause of harm if some other act or occurrence is a superseding cause of the harm.  </w:t>
      </w:r>
    </w:p>
    <w:p w:rsidR="00000000" w:rsidRDefault="00D70A24">
      <w:pPr>
        <w:pStyle w:val="BodyText"/>
        <w:spacing w:before="120" w:after="120" w:line="360" w:lineRule="auto"/>
        <w:ind w:firstLine="720"/>
        <w:rPr>
          <w:rFonts w:ascii="Bookman Old Style" w:hAnsi="Bookman Old Style"/>
          <w:i w:val="0"/>
          <w:sz w:val="24"/>
        </w:rPr>
      </w:pPr>
      <w:r>
        <w:rPr>
          <w:rFonts w:ascii="Bookman Old Style" w:hAnsi="Bookman Old Style"/>
          <w:i w:val="0"/>
          <w:sz w:val="24"/>
        </w:rPr>
        <w:t>Another act or occurrence may be a superseding cause if both of the following statements are more likely true than not true:</w:t>
      </w:r>
    </w:p>
    <w:p w:rsidR="00000000" w:rsidRDefault="00D70A24">
      <w:pPr>
        <w:pStyle w:val="BodyText"/>
        <w:spacing w:before="120" w:after="120" w:line="360" w:lineRule="auto"/>
        <w:rPr>
          <w:rFonts w:ascii="Bookman Old Style" w:hAnsi="Bookman Old Style"/>
          <w:i w:val="0"/>
          <w:sz w:val="24"/>
        </w:rPr>
      </w:pPr>
      <w:r>
        <w:rPr>
          <w:rFonts w:ascii="Bookman Old Style" w:hAnsi="Bookman Old Style"/>
          <w:i w:val="0"/>
          <w:sz w:val="24"/>
        </w:rPr>
        <w:t xml:space="preserve"> </w:t>
      </w:r>
      <w:r>
        <w:rPr>
          <w:rFonts w:ascii="Bookman Old Style" w:hAnsi="Bookman Old Style"/>
          <w:i w:val="0"/>
          <w:sz w:val="24"/>
        </w:rPr>
        <w:tab/>
        <w:t>(1</w:t>
      </w:r>
      <w:r>
        <w:rPr>
          <w:rFonts w:ascii="Bookman Old Style" w:hAnsi="Bookman Old Style"/>
          <w:i w:val="0"/>
          <w:sz w:val="24"/>
        </w:rPr>
        <w:t>)</w:t>
      </w:r>
      <w:r>
        <w:rPr>
          <w:rFonts w:ascii="Bookman Old Style" w:hAnsi="Bookman Old Style"/>
          <w:i w:val="0"/>
          <w:sz w:val="24"/>
        </w:rPr>
        <w:tab/>
        <w:t xml:space="preserve">the other act or occurrence was outside the scope of the foreseeable risk posed by the defect in the product, and had no reasonable connection to it; and </w:t>
      </w:r>
    </w:p>
    <w:p w:rsidR="00000000" w:rsidRDefault="00D70A24">
      <w:pPr>
        <w:pStyle w:val="BodyTextIndent"/>
        <w:rPr>
          <w:rFonts w:ascii="Bookman Old Style" w:hAnsi="Bookman Old Style"/>
        </w:rPr>
      </w:pPr>
      <w:r>
        <w:rPr>
          <w:rFonts w:ascii="Bookman Old Style" w:hAnsi="Bookman Old Style"/>
        </w:rPr>
        <w:t>(2)</w:t>
      </w:r>
      <w:r>
        <w:rPr>
          <w:rFonts w:ascii="Bookman Old Style" w:hAnsi="Bookman Old Style"/>
        </w:rPr>
        <w:tab/>
        <w:t xml:space="preserve">in hindsight, it is  highly extraordinary that the defect in the product would bring about the </w:t>
      </w:r>
      <w:r>
        <w:rPr>
          <w:rFonts w:ascii="Bookman Old Style" w:hAnsi="Bookman Old Style"/>
        </w:rPr>
        <w:t>plaintiff's harm.</w:t>
      </w:r>
    </w:p>
    <w:p w:rsidR="00000000" w:rsidRDefault="00D70A24">
      <w:pPr>
        <w:pStyle w:val="BodyTextIndent"/>
        <w:rPr>
          <w:rFonts w:ascii="Bookman Old Style" w:hAnsi="Bookman Old Style"/>
        </w:rPr>
      </w:pPr>
      <w:r>
        <w:rPr>
          <w:rFonts w:ascii="Bookman Old Style" w:hAnsi="Bookman Old Style"/>
        </w:rPr>
        <w:t>If you find that either one or both of these statements is untrue, then the other act or occurrence is not a superseding cause.  However, if you find that both of these statements are true, then you may find that the other act or occurren</w:t>
      </w:r>
      <w:r>
        <w:rPr>
          <w:rFonts w:ascii="Bookman Old Style" w:hAnsi="Bookman Old Style"/>
        </w:rPr>
        <w:t>ce is a superseding cause and that the defect in the product was not a legal cause of the plaintiff's harm.</w:t>
      </w:r>
    </w:p>
    <w:p w:rsidR="00000000" w:rsidRDefault="00D70A24">
      <w:pPr>
        <w:pStyle w:val="PlainTex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</w:rPr>
        <w:cr/>
      </w:r>
      <w:r>
        <w:rPr>
          <w:rFonts w:ascii="Bookman Old Style" w:hAnsi="Bookman Old Style"/>
          <w:sz w:val="26"/>
          <w:u w:val="single"/>
        </w:rPr>
        <w:t>Use Note</w:t>
      </w:r>
    </w:p>
    <w:p w:rsidR="00000000" w:rsidRDefault="00D70A24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cr/>
        <w:t xml:space="preserve">Instruction 7.08A should be given if there is an intervening force that may constitute a superseding cause.  Instruction 7.08A should be </w:t>
      </w:r>
      <w:r>
        <w:rPr>
          <w:rFonts w:ascii="Bookman Old Style" w:hAnsi="Bookman Old Style"/>
          <w:sz w:val="26"/>
        </w:rPr>
        <w:t>given after Instructions 7.07 (Legal Cause) and 7.08 (Multiple Causes).</w:t>
      </w:r>
    </w:p>
    <w:p w:rsidR="00000000" w:rsidRDefault="00D70A24">
      <w:pPr>
        <w:pStyle w:val="PlainText"/>
        <w:jc w:val="center"/>
        <w:rPr>
          <w:rFonts w:ascii="Bookman Old Style" w:hAnsi="Bookman Old Style"/>
          <w:sz w:val="26"/>
          <w:u w:val="single"/>
        </w:rPr>
      </w:pPr>
    </w:p>
    <w:p w:rsidR="00000000" w:rsidRDefault="00D70A24">
      <w:pPr>
        <w:pStyle w:val="PlainTex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Comment</w:t>
      </w:r>
    </w:p>
    <w:p w:rsidR="00000000" w:rsidRDefault="00D70A24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D70A24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The doctrine of superseding cause applies to claims for strict liability in tort.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  <w:u w:val="single"/>
        </w:rPr>
        <w:t>Dura</w:t>
      </w:r>
      <w:proofErr w:type="spellEnd"/>
      <w:r>
        <w:rPr>
          <w:rFonts w:ascii="Bookman Old Style" w:hAnsi="Bookman Old Style"/>
          <w:sz w:val="26"/>
          <w:u w:val="single"/>
        </w:rPr>
        <w:t xml:space="preserve"> Corp. v. </w:t>
      </w:r>
      <w:proofErr w:type="spellStart"/>
      <w:r>
        <w:rPr>
          <w:rFonts w:ascii="Bookman Old Style" w:hAnsi="Bookman Old Style"/>
          <w:sz w:val="26"/>
          <w:u w:val="single"/>
        </w:rPr>
        <w:t>Harned</w:t>
      </w:r>
      <w:proofErr w:type="spellEnd"/>
      <w:r>
        <w:rPr>
          <w:rFonts w:ascii="Bookman Old Style" w:hAnsi="Bookman Old Style"/>
          <w:sz w:val="26"/>
        </w:rPr>
        <w:t xml:space="preserve">, 703 P.2d 396, 402 (Alaska 1985);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also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 xml:space="preserve">Keogh v. W.R. </w:t>
      </w:r>
      <w:proofErr w:type="spellStart"/>
      <w:r>
        <w:rPr>
          <w:rFonts w:ascii="Bookman Old Style" w:hAnsi="Bookman Old Style"/>
          <w:sz w:val="26"/>
          <w:u w:val="single"/>
        </w:rPr>
        <w:t>Grasle</w:t>
      </w:r>
      <w:proofErr w:type="spellEnd"/>
      <w:r>
        <w:rPr>
          <w:rFonts w:ascii="Bookman Old Style" w:hAnsi="Bookman Old Style"/>
          <w:sz w:val="26"/>
          <w:u w:val="single"/>
        </w:rPr>
        <w:t>, I</w:t>
      </w:r>
      <w:r>
        <w:rPr>
          <w:rFonts w:ascii="Bookman Old Style" w:hAnsi="Bookman Old Style"/>
          <w:sz w:val="26"/>
          <w:u w:val="single"/>
        </w:rPr>
        <w:t>nc.</w:t>
      </w:r>
      <w:r>
        <w:rPr>
          <w:rFonts w:ascii="Bookman Old Style" w:hAnsi="Bookman Old Style"/>
          <w:sz w:val="26"/>
        </w:rPr>
        <w:t>, 816 P.2d 1343 (Alaska 1991)(no error in instructing on superseding cause).  A superseding cause instruction may be appropriate when a component part manufacturer alleges that the injury was caused by an inappropriate design decision by the manufacture</w:t>
      </w:r>
      <w:r>
        <w:rPr>
          <w:rFonts w:ascii="Bookman Old Style" w:hAnsi="Bookman Old Style"/>
          <w:sz w:val="26"/>
        </w:rPr>
        <w:t xml:space="preserve">r of a device into which the component part is incorporated, rather than by a defect in the component part.  </w:t>
      </w:r>
      <w:r>
        <w:rPr>
          <w:rFonts w:ascii="Bookman Old Style" w:hAnsi="Bookman Old Style"/>
          <w:sz w:val="26"/>
          <w:u w:val="single"/>
        </w:rPr>
        <w:t>Colt Industries Operating Corp. v. Frank W. Murphy Manufacturer, Inc.</w:t>
      </w:r>
      <w:r>
        <w:rPr>
          <w:rFonts w:ascii="Bookman Old Style" w:hAnsi="Bookman Old Style"/>
          <w:sz w:val="26"/>
        </w:rPr>
        <w:t>, 822 P.2d 925, 931 n. 7 (Alaska 1991).</w:t>
      </w:r>
    </w:p>
    <w:p w:rsidR="00000000" w:rsidRDefault="00D70A24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D70A24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For additional discussion of Alaska l</w:t>
      </w:r>
      <w:r>
        <w:rPr>
          <w:rFonts w:ascii="Bookman Old Style" w:hAnsi="Bookman Old Style"/>
          <w:sz w:val="26"/>
        </w:rPr>
        <w:t>aw on superseding causes, see the Comment to Instruction 3.07A.</w:t>
      </w:r>
    </w:p>
    <w:p w:rsidR="00000000" w:rsidRDefault="00D70A24">
      <w:pPr>
        <w:pStyle w:val="PlainText"/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0A24">
      <w:r>
        <w:separator/>
      </w:r>
    </w:p>
  </w:endnote>
  <w:endnote w:type="continuationSeparator" w:id="0">
    <w:p w:rsidR="00000000" w:rsidRDefault="00D7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Italic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0A24">
    <w:pPr>
      <w:pStyle w:val="Footer"/>
      <w:tabs>
        <w:tab w:val="clear" w:pos="8640"/>
        <w:tab w:val="right" w:pos="9090"/>
      </w:tabs>
      <w:rPr>
        <w:rFonts w:ascii="Bookman Old Style" w:hAnsi="Bookman Old Style"/>
      </w:rPr>
    </w:pPr>
    <w:r>
      <w:rPr>
        <w:rFonts w:ascii="Bookman Old Style" w:hAnsi="Bookman Old Style"/>
      </w:rPr>
      <w:t>Revised 2000</w:t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  <w:t xml:space="preserve">07.08A – </w:t>
    </w:r>
    <w:r>
      <w:rPr>
        <w:rStyle w:val="PageNumber"/>
        <w:rFonts w:ascii="Bookman Old Style" w:hAnsi="Bookman Old Style"/>
      </w:rPr>
      <w:fldChar w:fldCharType="begin"/>
    </w:r>
    <w:r>
      <w:rPr>
        <w:rStyle w:val="PageNumber"/>
        <w:rFonts w:ascii="Bookman Old Style" w:hAnsi="Bookman Old Style"/>
      </w:rPr>
      <w:instrText xml:space="preserve"> PAGE </w:instrText>
    </w:r>
    <w:r>
      <w:rPr>
        <w:rStyle w:val="PageNumber"/>
        <w:rFonts w:ascii="Bookman Old Style" w:hAnsi="Bookman Old Style"/>
      </w:rPr>
      <w:fldChar w:fldCharType="separate"/>
    </w:r>
    <w:r>
      <w:rPr>
        <w:rStyle w:val="PageNumber"/>
        <w:rFonts w:ascii="Bookman Old Style" w:hAnsi="Bookman Old Style"/>
        <w:noProof/>
      </w:rPr>
      <w:t>2</w:t>
    </w:r>
    <w:r>
      <w:rPr>
        <w:rStyle w:val="PageNumber"/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0A24">
      <w:r>
        <w:separator/>
      </w:r>
    </w:p>
  </w:footnote>
  <w:footnote w:type="continuationSeparator" w:id="0">
    <w:p w:rsidR="00000000" w:rsidRDefault="00D7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0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39"/>
    <w:rsid w:val="00423439"/>
    <w:rsid w:val="00D7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 w:val="0"/>
      <w:tabs>
        <w:tab w:val="left" w:pos="-720"/>
        <w:tab w:val="left" w:pos="0"/>
      </w:tabs>
      <w:suppressAutoHyphens/>
      <w:jc w:val="both"/>
    </w:pPr>
    <w:rPr>
      <w:rFonts w:ascii="Univers Italic" w:hAnsi="Univers Italic"/>
      <w:i/>
      <w:snapToGrid w:val="0"/>
      <w:spacing w:val="-2"/>
      <w:sz w:val="20"/>
    </w:rPr>
  </w:style>
  <w:style w:type="paragraph" w:styleId="BodyTextIndent">
    <w:name w:val="Body Text Indent"/>
    <w:basedOn w:val="Normal"/>
    <w:semiHidden/>
    <w:pPr>
      <w:suppressAutoHyphens/>
      <w:spacing w:before="120" w:after="120" w:line="360" w:lineRule="auto"/>
      <w:ind w:firstLine="720"/>
      <w:jc w:val="both"/>
    </w:pPr>
    <w:rPr>
      <w:rFonts w:ascii="Courier" w:hAnsi="Courier"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 w:val="0"/>
      <w:tabs>
        <w:tab w:val="left" w:pos="-720"/>
        <w:tab w:val="left" w:pos="0"/>
      </w:tabs>
      <w:suppressAutoHyphens/>
      <w:jc w:val="both"/>
    </w:pPr>
    <w:rPr>
      <w:rFonts w:ascii="Univers Italic" w:hAnsi="Univers Italic"/>
      <w:i/>
      <w:snapToGrid w:val="0"/>
      <w:spacing w:val="-2"/>
      <w:sz w:val="20"/>
    </w:rPr>
  </w:style>
  <w:style w:type="paragraph" w:styleId="BodyTextIndent">
    <w:name w:val="Body Text Indent"/>
    <w:basedOn w:val="Normal"/>
    <w:semiHidden/>
    <w:pPr>
      <w:suppressAutoHyphens/>
      <w:spacing w:before="120" w:after="120" w:line="360" w:lineRule="auto"/>
      <w:ind w:firstLine="720"/>
      <w:jc w:val="both"/>
    </w:pPr>
    <w:rPr>
      <w:rFonts w:ascii="Courier" w:hAnsi="Courier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</vt:lpstr>
    </vt:vector>
  </TitlesOfParts>
  <Manager/>
  <Company/>
  <LinksUpToDate>false</LinksUpToDate>
  <CharactersWithSpaces>2109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subject/>
  <dc:creator>Christine Johnson</dc:creator>
  <cp:keywords/>
  <dc:description/>
  <cp:lastModifiedBy>Michael Merrington</cp:lastModifiedBy>
  <cp:revision>3</cp:revision>
  <cp:lastPrinted>2001-04-09T16:05:00Z</cp:lastPrinted>
  <dcterms:created xsi:type="dcterms:W3CDTF">2017-04-04T18:49:00Z</dcterms:created>
  <dcterms:modified xsi:type="dcterms:W3CDTF">2017-04-04T18:49:00Z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/>
  </property>
  <property fmtid="{D5CDD505-2E9C-101B-9397-08002B2CF9AE}" pid="3" name="author">
    <vt:lpwstr/>
  </property>
  <property fmtid="{D5CDD505-2E9C-101B-9397-08002B2CF9AE}" pid="4" name="Lauthor">
    <vt:lpwstr/>
  </property>
  <property fmtid="{D5CDD505-2E9C-101B-9397-08002B2CF9AE}" pid="5" name="archive">
    <vt:lpwstr/>
  </property>
  <property fmtid="{D5CDD505-2E9C-101B-9397-08002B2CF9AE}" pid="6" name="encrypt">
    <vt:lpwstr/>
  </property>
  <property fmtid="{D5CDD505-2E9C-101B-9397-08002B2CF9AE}" pid="7" name="association">
    <vt:lpwstr/>
  </property>
  <property fmtid="{D5CDD505-2E9C-101B-9397-08002B2CF9AE}" pid="8" name="reference">
    <vt:lpwstr/>
  </property>
  <property fmtid="{D5CDD505-2E9C-101B-9397-08002B2CF9AE}" pid="9" name="doctype">
    <vt:lpwstr/>
  </property>
  <property fmtid="{D5CDD505-2E9C-101B-9397-08002B2CF9AE}" pid="10" name="title">
    <vt:lpwstr/>
  </property>
  <property fmtid="{D5CDD505-2E9C-101B-9397-08002B2CF9AE}" pid="11" name="catid">
    <vt:lpwstr/>
  </property>
  <property fmtid="{D5CDD505-2E9C-101B-9397-08002B2CF9AE}" pid="12" name="refname1">
    <vt:lpwstr/>
  </property>
  <property fmtid="{D5CDD505-2E9C-101B-9397-08002B2CF9AE}" pid="13" name="refname2">
    <vt:lpwstr/>
  </property>
  <property fmtid="{D5CDD505-2E9C-101B-9397-08002B2CF9AE}" pid="14" name="indextext">
    <vt:lpwstr/>
  </property>
  <property fmtid="{D5CDD505-2E9C-101B-9397-08002B2CF9AE}" pid="15" name="filecat">
    <vt:lpwstr/>
  </property>
  <property fmtid="{D5CDD505-2E9C-101B-9397-08002B2CF9AE}" pid="16" name="ckogroup">
    <vt:lpwstr/>
  </property>
  <property fmtid="{D5CDD505-2E9C-101B-9397-08002B2CF9AE}" pid="17" name="version">
    <vt:lpwstr/>
  </property>
  <property fmtid="{D5CDD505-2E9C-101B-9397-08002B2CF9AE}" pid="18" name="typist">
    <vt:lpwstr/>
  </property>
  <property fmtid="{D5CDD505-2E9C-101B-9397-08002B2CF9AE}" pid="19" name="subdoc">
    <vt:lpwstr/>
  </property>
  <property fmtid="{D5CDD505-2E9C-101B-9397-08002B2CF9AE}" pid="20" name="routing">
    <vt:lpwstr/>
  </property>
  <property fmtid="{D5CDD505-2E9C-101B-9397-08002B2CF9AE}" pid="21" name="masterdoc">
    <vt:lpwstr/>
  </property>
  <property fmtid="{D5CDD505-2E9C-101B-9397-08002B2CF9AE}" pid="22" name="filename">
    <vt:lpwstr/>
  </property>
  <property fmtid="{D5CDD505-2E9C-101B-9397-08002B2CF9AE}" pid="23" name="in use by">
    <vt:lpwstr/>
  </property>
  <property fmtid="{D5CDD505-2E9C-101B-9397-08002B2CF9AE}" pid="24" name="WPRS">
    <vt:lpwstr/>
  </property>
</Properties>
</file>