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7E" w:rsidRDefault="0025517E">
      <w:pPr>
        <w:tabs>
          <w:tab w:val="left" w:pos="720"/>
        </w:tabs>
        <w:ind w:left="720" w:hanging="720"/>
        <w:jc w:val="both"/>
        <w:rPr>
          <w:rFonts w:ascii="Bookman Old Style" w:hAnsi="Bookman Old Style"/>
          <w:caps/>
          <w:sz w:val="26"/>
        </w:rPr>
      </w:pPr>
      <w:bookmarkStart w:id="0" w:name="_GoBack"/>
      <w:bookmarkEnd w:id="0"/>
      <w:r>
        <w:rPr>
          <w:rFonts w:ascii="Bookman Old Style" w:hAnsi="Bookman Old Style"/>
          <w:sz w:val="26"/>
        </w:rPr>
        <w:t>8.03</w:t>
      </w:r>
      <w:r>
        <w:rPr>
          <w:rFonts w:ascii="Bookman Old Style" w:hAnsi="Bookman Old Style"/>
          <w:sz w:val="26"/>
        </w:rPr>
        <w:tab/>
      </w:r>
      <w:r>
        <w:rPr>
          <w:rFonts w:ascii="Bookman Old Style" w:hAnsi="Bookman Old Style"/>
          <w:caps/>
          <w:sz w:val="26"/>
        </w:rPr>
        <w:t>Health Care ProVIDER Malpractice – Failure to Obtain Informed Consent</w:t>
      </w:r>
    </w:p>
    <w:p w:rsidR="0025517E" w:rsidRDefault="0025517E">
      <w:pPr>
        <w:rPr>
          <w:rFonts w:ascii="Bookman Old Style" w:hAnsi="Bookman Old Style"/>
          <w:sz w:val="26"/>
        </w:rPr>
      </w:pPr>
    </w:p>
    <w:p w:rsidR="0025517E" w:rsidRDefault="0025517E">
      <w:pPr>
        <w:pStyle w:val="BodyText"/>
        <w:rPr>
          <w:rFonts w:ascii="Bookman Old Style" w:hAnsi="Bookman Old Style"/>
          <w:sz w:val="26"/>
        </w:rPr>
      </w:pPr>
      <w:r>
        <w:rPr>
          <w:rFonts w:ascii="Bookman Old Style" w:hAnsi="Bookman Old Style"/>
          <w:sz w:val="26"/>
        </w:rPr>
        <w:t xml:space="preserve">The law requires a health care provider to obtain informed consent before performing a treatment or procedure. If the health care provider fails to obtain informed consent, [he] [she] [it] may be responsible for the patient’s harm even though the treatment itself met the applicable standard of care.  </w:t>
      </w:r>
    </w:p>
    <w:p w:rsidR="0025517E" w:rsidRDefault="0025517E">
      <w:pPr>
        <w:spacing w:line="360" w:lineRule="auto"/>
        <w:jc w:val="both"/>
        <w:rPr>
          <w:rFonts w:ascii="Bookman Old Style" w:hAnsi="Bookman Old Style"/>
          <w:sz w:val="26"/>
        </w:rPr>
      </w:pPr>
    </w:p>
    <w:p w:rsidR="0025517E" w:rsidRDefault="0025517E">
      <w:pPr>
        <w:spacing w:line="360" w:lineRule="auto"/>
        <w:jc w:val="both"/>
        <w:rPr>
          <w:rFonts w:ascii="Bookman Old Style" w:hAnsi="Bookman Old Style"/>
          <w:sz w:val="26"/>
        </w:rPr>
      </w:pPr>
      <w:r>
        <w:rPr>
          <w:rFonts w:ascii="Bookman Old Style" w:hAnsi="Bookman Old Style"/>
          <w:sz w:val="26"/>
        </w:rPr>
        <w:t>The plaintiff claims that the defendant failed to obtain informed consent. In order for the plaintiff to prevail on this claim, you must find it is more likely true than not true that:</w:t>
      </w:r>
    </w:p>
    <w:p w:rsidR="0025517E" w:rsidRDefault="0025517E">
      <w:pPr>
        <w:spacing w:line="360" w:lineRule="auto"/>
        <w:jc w:val="both"/>
        <w:rPr>
          <w:rFonts w:ascii="Bookman Old Style" w:hAnsi="Bookman Old Style"/>
          <w:sz w:val="26"/>
        </w:rPr>
      </w:pPr>
    </w:p>
    <w:p w:rsidR="0025517E" w:rsidRDefault="0025517E">
      <w:pPr>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 failed to provide enough information about the material risks of the [insert treatment or procedure], the likelihood that the risks would occur, and the reasonable alternatives to [insert type of treatment or procedure] to allow a reasonable person in the plaintiff’s position  to make an informed and intelligent decision whether or not to proceed with the [insert type of treatment or procedure];</w:t>
      </w:r>
    </w:p>
    <w:p w:rsidR="0025517E" w:rsidRDefault="0025517E">
      <w:pPr>
        <w:spacing w:line="360" w:lineRule="auto"/>
        <w:ind w:left="720" w:hanging="720"/>
        <w:jc w:val="both"/>
        <w:rPr>
          <w:rFonts w:ascii="Bookman Old Style" w:hAnsi="Bookman Old Style"/>
          <w:sz w:val="26"/>
        </w:rPr>
      </w:pPr>
    </w:p>
    <w:p w:rsidR="0025517E" w:rsidRDefault="0025517E">
      <w:pPr>
        <w:pStyle w:val="BodyTextIndent2"/>
        <w:spacing w:line="360" w:lineRule="auto"/>
        <w:jc w:val="both"/>
        <w:rPr>
          <w:rFonts w:ascii="Bookman Old Style" w:hAnsi="Bookman Old Style"/>
          <w:sz w:val="26"/>
        </w:rPr>
      </w:pPr>
      <w:r>
        <w:rPr>
          <w:rFonts w:ascii="Bookman Old Style" w:hAnsi="Bookman Old Style"/>
          <w:sz w:val="26"/>
        </w:rPr>
        <w:t>(2)</w:t>
      </w:r>
      <w:r>
        <w:rPr>
          <w:rFonts w:ascii="Bookman Old Style" w:hAnsi="Bookman Old Style"/>
          <w:sz w:val="26"/>
        </w:rPr>
        <w:tab/>
        <w:t>the plaintiff would have decided against the [insert type of treatment or procedure] if [he] [she] had been provided such information; and</w:t>
      </w:r>
    </w:p>
    <w:p w:rsidR="0025517E" w:rsidRDefault="0025517E">
      <w:pPr>
        <w:pStyle w:val="BodyTextIndent2"/>
        <w:spacing w:line="360" w:lineRule="auto"/>
        <w:jc w:val="both"/>
        <w:rPr>
          <w:rFonts w:ascii="Bookman Old Style" w:hAnsi="Bookman Old Style"/>
          <w:sz w:val="26"/>
        </w:rPr>
      </w:pPr>
    </w:p>
    <w:p w:rsidR="0025517E" w:rsidRDefault="0025517E">
      <w:pPr>
        <w:spacing w:line="360" w:lineRule="auto"/>
        <w:ind w:left="720" w:hanging="720"/>
        <w:jc w:val="both"/>
        <w:rPr>
          <w:rFonts w:ascii="Bookman Old Style" w:hAnsi="Bookman Old Style"/>
          <w:sz w:val="26"/>
          <w:u w:val="single"/>
        </w:rPr>
      </w:pPr>
      <w:r>
        <w:rPr>
          <w:rFonts w:ascii="Bookman Old Style" w:hAnsi="Bookman Old Style"/>
          <w:sz w:val="26"/>
        </w:rPr>
        <w:t>(3)</w:t>
      </w:r>
      <w:r>
        <w:rPr>
          <w:rFonts w:ascii="Bookman Old Style" w:hAnsi="Bookman Old Style"/>
          <w:sz w:val="26"/>
        </w:rPr>
        <w:tab/>
        <w:t xml:space="preserve">the [insert type of treatment or procedure] was a legal cause of the plaintiff’s harm. </w:t>
      </w:r>
      <w:r>
        <w:rPr>
          <w:rFonts w:ascii="Bookman Old Style" w:hAnsi="Bookman Old Style"/>
          <w:sz w:val="26"/>
          <w:u w:val="single"/>
        </w:rPr>
        <w:t xml:space="preserve"> </w:t>
      </w:r>
    </w:p>
    <w:p w:rsidR="0025517E" w:rsidRDefault="0025517E">
      <w:pPr>
        <w:spacing w:line="360" w:lineRule="auto"/>
        <w:ind w:firstLine="720"/>
        <w:jc w:val="both"/>
        <w:rPr>
          <w:rFonts w:ascii="Bookman Old Style" w:hAnsi="Bookman Old Style"/>
          <w:sz w:val="26"/>
        </w:rPr>
      </w:pPr>
    </w:p>
    <w:p w:rsidR="0025517E" w:rsidRDefault="0025517E">
      <w:pPr>
        <w:spacing w:line="360" w:lineRule="auto"/>
        <w:jc w:val="both"/>
        <w:rPr>
          <w:rFonts w:ascii="Bookman Old Style" w:hAnsi="Bookman Old Style"/>
          <w:sz w:val="26"/>
        </w:rPr>
      </w:pPr>
      <w:r>
        <w:rPr>
          <w:rFonts w:ascii="Bookman Old Style" w:hAnsi="Bookman Old Style"/>
          <w:sz w:val="26"/>
        </w:rPr>
        <w:t xml:space="preserve">I will now explain to you what the terms “material risk” and “legal cause” mean.  </w:t>
      </w:r>
    </w:p>
    <w:p w:rsidR="0025517E" w:rsidRDefault="0025517E">
      <w:pPr>
        <w:spacing w:line="360" w:lineRule="auto"/>
        <w:jc w:val="both"/>
        <w:rPr>
          <w:rFonts w:ascii="Bookman Old Style" w:hAnsi="Bookman Old Style"/>
          <w:sz w:val="26"/>
        </w:rPr>
      </w:pPr>
    </w:p>
    <w:p w:rsidR="0025517E" w:rsidRDefault="0025517E">
      <w:pPr>
        <w:pStyle w:val="Heading1"/>
      </w:pPr>
      <w:r>
        <w:t>Use Note</w:t>
      </w:r>
    </w:p>
    <w:p w:rsidR="0025517E" w:rsidRDefault="0025517E">
      <w:pPr>
        <w:pStyle w:val="BodyText3"/>
      </w:pPr>
      <w:r>
        <w:t xml:space="preserve">This instruction is to be used when the plaintiff alleges a lack of informed consent. In cases where the plaintiff alleges a complete lack of consent, Instruction 8.04 should be used. If a plaintiff raises both lack of consent, and alternatively lack of informed consent, both Instructions 8.03 and 8.04 should be given. </w:t>
      </w:r>
    </w:p>
    <w:p w:rsidR="0025517E" w:rsidRDefault="0025517E">
      <w:pPr>
        <w:pStyle w:val="BodyText3"/>
      </w:pPr>
    </w:p>
    <w:p w:rsidR="0025517E" w:rsidRDefault="0025517E">
      <w:pPr>
        <w:pStyle w:val="BodyText3"/>
      </w:pPr>
      <w:r>
        <w:t xml:space="preserve">Instruction 2.04 (Definition of Preponderance), and Instruction 3.06 (Legal Cause), and Instruction 8.05 (Definition of Material Risk) should be given following this series of instructions.  </w:t>
      </w:r>
    </w:p>
    <w:p w:rsidR="0025517E" w:rsidRDefault="0025517E">
      <w:pPr>
        <w:jc w:val="both"/>
        <w:rPr>
          <w:rFonts w:ascii="Bookman Old Style" w:hAnsi="Bookman Old Style"/>
          <w:sz w:val="26"/>
        </w:rPr>
      </w:pPr>
    </w:p>
    <w:p w:rsidR="0025517E" w:rsidRDefault="0025517E">
      <w:pPr>
        <w:pStyle w:val="BodyText3"/>
      </w:pPr>
    </w:p>
    <w:p w:rsidR="0025517E" w:rsidRDefault="0025517E">
      <w:pPr>
        <w:jc w:val="center"/>
        <w:rPr>
          <w:rFonts w:ascii="Bookman Old Style" w:hAnsi="Bookman Old Style"/>
          <w:sz w:val="26"/>
        </w:rPr>
      </w:pPr>
    </w:p>
    <w:p w:rsidR="0025517E" w:rsidRDefault="0025517E">
      <w:pPr>
        <w:pStyle w:val="Heading1"/>
        <w:spacing w:line="240" w:lineRule="auto"/>
      </w:pPr>
      <w:r>
        <w:t>Comment</w:t>
      </w:r>
    </w:p>
    <w:p w:rsidR="0025517E" w:rsidRDefault="0025517E">
      <w:pPr>
        <w:rPr>
          <w:rFonts w:ascii="Bookman Old Style" w:hAnsi="Bookman Old Style"/>
          <w:sz w:val="26"/>
        </w:rPr>
      </w:pPr>
    </w:p>
    <w:p w:rsidR="0025517E" w:rsidRDefault="0025517E">
      <w:pPr>
        <w:jc w:val="both"/>
        <w:rPr>
          <w:rFonts w:ascii="Bookman Old Style" w:hAnsi="Bookman Old Style"/>
          <w:sz w:val="26"/>
        </w:rPr>
      </w:pPr>
      <w:r>
        <w:rPr>
          <w:rFonts w:ascii="Bookman Old Style" w:hAnsi="Bookman Old Style"/>
          <w:sz w:val="26"/>
        </w:rPr>
        <w:t xml:space="preserve">In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the doctrine of informed consent is controlled by AS 09.55.556 which allocates the burden of proof in informed consent cases.  This instruction is based primarily on the statute and </w:t>
      </w:r>
      <w:proofErr w:type="spellStart"/>
      <w:r>
        <w:rPr>
          <w:rFonts w:ascii="Bookman Old Style" w:hAnsi="Bookman Old Style"/>
          <w:sz w:val="26"/>
          <w:u w:val="single"/>
        </w:rPr>
        <w:t>Korman</w:t>
      </w:r>
      <w:proofErr w:type="spellEnd"/>
      <w:r>
        <w:rPr>
          <w:rFonts w:ascii="Bookman Old Style" w:hAnsi="Bookman Old Style"/>
          <w:sz w:val="26"/>
          <w:u w:val="single"/>
        </w:rPr>
        <w:t xml:space="preserve"> v. </w:t>
      </w:r>
      <w:proofErr w:type="spellStart"/>
      <w:r>
        <w:rPr>
          <w:rFonts w:ascii="Bookman Old Style" w:hAnsi="Bookman Old Style"/>
          <w:sz w:val="26"/>
          <w:u w:val="single"/>
        </w:rPr>
        <w:t>Mallin</w:t>
      </w:r>
      <w:proofErr w:type="spellEnd"/>
      <w:r>
        <w:rPr>
          <w:rFonts w:ascii="Bookman Old Style" w:hAnsi="Bookman Old Style"/>
          <w:sz w:val="26"/>
        </w:rPr>
        <w:t>, 858 P.2d 1145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1993), which interprets the phrase “common risks” in the statute to mean “material risks.”  The “legal cause” requirement in the instruction is not expressly set out in the statute, but is required by general tort principles. The validity of this “reasonable patient” instruction was also approved in </w:t>
      </w:r>
      <w:proofErr w:type="spellStart"/>
      <w:r>
        <w:rPr>
          <w:rFonts w:ascii="Bookman Old Style" w:hAnsi="Bookman Old Style"/>
          <w:sz w:val="26"/>
          <w:u w:val="single"/>
        </w:rPr>
        <w:t>Marsingill</w:t>
      </w:r>
      <w:proofErr w:type="spellEnd"/>
      <w:r>
        <w:rPr>
          <w:rFonts w:ascii="Bookman Old Style" w:hAnsi="Bookman Old Style"/>
          <w:sz w:val="26"/>
          <w:u w:val="single"/>
        </w:rPr>
        <w:t xml:space="preserve"> v. O’Malley</w:t>
      </w:r>
      <w:r>
        <w:rPr>
          <w:rFonts w:ascii="Bookman Old Style" w:hAnsi="Bookman Old Style"/>
          <w:sz w:val="26"/>
        </w:rPr>
        <w:t>, 58 P.3d 495 (Alaska 2002).</w:t>
      </w:r>
    </w:p>
    <w:p w:rsidR="0025517E" w:rsidRDefault="0025517E">
      <w:pPr>
        <w:jc w:val="both"/>
        <w:rPr>
          <w:rFonts w:ascii="Bookman Old Style" w:hAnsi="Bookman Old Style"/>
          <w:sz w:val="26"/>
        </w:rPr>
      </w:pPr>
    </w:p>
    <w:p w:rsidR="0025517E" w:rsidRDefault="0025517E">
      <w:pPr>
        <w:jc w:val="both"/>
        <w:rPr>
          <w:rFonts w:ascii="Bookman Old Style" w:hAnsi="Bookman Old Style"/>
          <w:sz w:val="26"/>
        </w:rPr>
      </w:pPr>
      <w:r>
        <w:rPr>
          <w:rFonts w:ascii="Bookman Old Style" w:hAnsi="Bookman Old Style"/>
          <w:sz w:val="26"/>
        </w:rPr>
        <w:t xml:space="preserve">Two cases decided before the enactment of AS 09.55.556 illustrate the application of consent law in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w:t>
      </w:r>
      <w:r>
        <w:rPr>
          <w:rFonts w:ascii="Bookman Old Style" w:hAnsi="Bookman Old Style"/>
          <w:sz w:val="26"/>
          <w:u w:val="single"/>
        </w:rPr>
        <w:t>See</w:t>
      </w:r>
      <w:r>
        <w:rPr>
          <w:rFonts w:ascii="Bookman Old Style" w:hAnsi="Bookman Old Style"/>
          <w:sz w:val="26"/>
        </w:rPr>
        <w:t xml:space="preserve"> </w:t>
      </w:r>
      <w:proofErr w:type="spellStart"/>
      <w:r>
        <w:rPr>
          <w:rFonts w:ascii="Bookman Old Style" w:hAnsi="Bookman Old Style"/>
          <w:sz w:val="26"/>
          <w:u w:val="single"/>
        </w:rPr>
        <w:t>Poulin</w:t>
      </w:r>
      <w:proofErr w:type="spellEnd"/>
      <w:r>
        <w:rPr>
          <w:rFonts w:ascii="Bookman Old Style" w:hAnsi="Bookman Old Style"/>
          <w:sz w:val="26"/>
          <w:u w:val="single"/>
        </w:rPr>
        <w:t xml:space="preserve"> v. </w:t>
      </w:r>
      <w:proofErr w:type="spellStart"/>
      <w:r>
        <w:rPr>
          <w:rFonts w:ascii="Bookman Old Style" w:hAnsi="Bookman Old Style"/>
          <w:sz w:val="26"/>
          <w:u w:val="single"/>
        </w:rPr>
        <w:t>Zartman</w:t>
      </w:r>
      <w:proofErr w:type="spellEnd"/>
      <w:r>
        <w:rPr>
          <w:rFonts w:ascii="Bookman Old Style" w:hAnsi="Bookman Old Style"/>
          <w:sz w:val="26"/>
        </w:rPr>
        <w:t xml:space="preserve">, 542 P.2d 251, 275 (Alaska 1975) (insufficient evidence to support finding that, had plaintiff known of an alternative procedure, he would have declined the procedure which was employed); </w:t>
      </w:r>
      <w:r>
        <w:rPr>
          <w:rFonts w:ascii="Bookman Old Style" w:hAnsi="Bookman Old Style"/>
          <w:sz w:val="26"/>
          <w:u w:val="single"/>
        </w:rPr>
        <w:t xml:space="preserve">Patrick v. </w:t>
      </w:r>
      <w:proofErr w:type="spellStart"/>
      <w:r>
        <w:rPr>
          <w:rFonts w:ascii="Bookman Old Style" w:hAnsi="Bookman Old Style"/>
          <w:sz w:val="26"/>
          <w:u w:val="single"/>
        </w:rPr>
        <w:t>Sedwick</w:t>
      </w:r>
      <w:proofErr w:type="spellEnd"/>
      <w:r>
        <w:rPr>
          <w:rFonts w:ascii="Bookman Old Style" w:hAnsi="Bookman Old Style"/>
          <w:sz w:val="26"/>
        </w:rPr>
        <w:t xml:space="preserve">, 391 P.2d 453, 458 (Alaska 1964) (no evidence that plaintiff would have declined the operation if defendant had informed her of risk involved); </w:t>
      </w:r>
      <w:r>
        <w:rPr>
          <w:rFonts w:ascii="Bookman Old Style" w:hAnsi="Bookman Old Style"/>
          <w:sz w:val="26"/>
          <w:u w:val="single"/>
        </w:rPr>
        <w:t>see also</w:t>
      </w:r>
      <w:r>
        <w:rPr>
          <w:rFonts w:ascii="Bookman Old Style" w:hAnsi="Bookman Old Style"/>
          <w:sz w:val="26"/>
        </w:rPr>
        <w:t xml:space="preserve"> 38 ALR 4</w:t>
      </w:r>
      <w:r>
        <w:rPr>
          <w:rFonts w:ascii="Bookman Old Style" w:hAnsi="Bookman Old Style"/>
          <w:sz w:val="26"/>
          <w:vertAlign w:val="superscript"/>
        </w:rPr>
        <w:t>th</w:t>
      </w:r>
      <w:r>
        <w:rPr>
          <w:rFonts w:ascii="Bookman Old Style" w:hAnsi="Bookman Old Style"/>
          <w:sz w:val="26"/>
        </w:rPr>
        <w:t xml:space="preserve"> 900, </w:t>
      </w:r>
      <w:r>
        <w:rPr>
          <w:rFonts w:ascii="Bookman Old Style" w:hAnsi="Bookman Old Style"/>
          <w:sz w:val="26"/>
          <w:u w:val="single"/>
        </w:rPr>
        <w:t>Medical Malpractice: Liability for Failure of Physician to Inform Patient of Alternative Modes of Diagnosis or Treatment</w:t>
      </w:r>
      <w:r>
        <w:rPr>
          <w:rFonts w:ascii="Bookman Old Style" w:hAnsi="Bookman Old Style"/>
          <w:sz w:val="26"/>
        </w:rPr>
        <w:t xml:space="preserve">.  </w:t>
      </w:r>
    </w:p>
    <w:p w:rsidR="0025517E" w:rsidRDefault="0025517E">
      <w:pPr>
        <w:spacing w:line="360" w:lineRule="auto"/>
        <w:jc w:val="both"/>
        <w:rPr>
          <w:rFonts w:ascii="Bookman Old Style" w:hAnsi="Bookman Old Style"/>
          <w:sz w:val="26"/>
        </w:rPr>
      </w:pPr>
    </w:p>
    <w:sectPr w:rsidR="0025517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73B5">
      <w:r>
        <w:separator/>
      </w:r>
    </w:p>
  </w:endnote>
  <w:endnote w:type="continuationSeparator" w:id="0">
    <w:p w:rsidR="00000000" w:rsidRDefault="00E1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E" w:rsidRDefault="0025517E">
    <w:pPr>
      <w:pStyle w:val="Footer"/>
    </w:pPr>
  </w:p>
  <w:p w:rsidR="0025517E" w:rsidRDefault="0025517E">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73B5">
      <w:r>
        <w:separator/>
      </w:r>
    </w:p>
  </w:footnote>
  <w:footnote w:type="continuationSeparator" w:id="0">
    <w:p w:rsidR="00000000" w:rsidRDefault="00E17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E" w:rsidRDefault="0025517E">
    <w:pPr>
      <w:pStyle w:val="Header"/>
      <w:jc w:val="right"/>
      <w:rPr>
        <w:rFonts w:ascii="Bookman Old Style" w:hAnsi="Bookman Old Style"/>
      </w:rPr>
    </w:pPr>
    <w:r>
      <w:rPr>
        <w:rFonts w:ascii="Bookman Old Style" w:hAnsi="Bookman Old Style"/>
      </w:rPr>
      <w:t xml:space="preserve">8.03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C41"/>
    <w:rsid w:val="001408D6"/>
    <w:rsid w:val="0025517E"/>
    <w:rsid w:val="00745C41"/>
    <w:rsid w:val="00BE6B60"/>
    <w:rsid w:val="00E1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480" w:lineRule="auto"/>
      <w:jc w:val="center"/>
      <w:outlineLvl w:val="0"/>
    </w:pPr>
    <w:rPr>
      <w:rFonts w:ascii="Bookman Old Style" w:hAnsi="Bookman Old Style"/>
      <w:b/>
      <w:cap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widowControl w:val="0"/>
      <w:spacing w:line="480" w:lineRule="auto"/>
      <w:ind w:left="720" w:hanging="720"/>
    </w:pPr>
    <w:rPr>
      <w:rFonts w:ascii="Times New Roman" w:hAnsi="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jc w:val="both"/>
    </w:pPr>
    <w:rPr>
      <w:rFonts w:ascii="Times New Roman" w:hAnsi="Times New Roman"/>
    </w:rPr>
  </w:style>
  <w:style w:type="paragraph" w:styleId="BlockText">
    <w:name w:val="Block Text"/>
    <w:basedOn w:val="Normal"/>
    <w:pPr>
      <w:ind w:left="1440" w:right="1440"/>
      <w:jc w:val="both"/>
    </w:pPr>
    <w:rPr>
      <w:rFonts w:ascii="Times New Roman" w:hAnsi="Times New Roman"/>
    </w:rPr>
  </w:style>
  <w:style w:type="paragraph" w:styleId="BodyText2">
    <w:name w:val="Body Text 2"/>
    <w:basedOn w:val="Normal"/>
    <w:pPr>
      <w:spacing w:line="360" w:lineRule="auto"/>
      <w:jc w:val="both"/>
    </w:pPr>
    <w:rPr>
      <w:rFonts w:ascii="Times New Roman" w:hAnsi="Times New Roman"/>
      <w:i/>
    </w:rPr>
  </w:style>
  <w:style w:type="paragraph" w:styleId="BodyText3">
    <w:name w:val="Body Text 3"/>
    <w:basedOn w:val="Normal"/>
    <w:pPr>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line="480" w:lineRule="auto"/>
      <w:jc w:val="center"/>
      <w:outlineLvl w:val="0"/>
    </w:pPr>
    <w:rPr>
      <w:rFonts w:ascii="Bookman Old Style" w:hAnsi="Bookman Old Style"/>
      <w:b/>
      <w:cap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widowControl w:val="0"/>
      <w:spacing w:line="480" w:lineRule="auto"/>
      <w:ind w:left="720" w:hanging="720"/>
    </w:pPr>
    <w:rPr>
      <w:rFonts w:ascii="Times New Roman" w:hAnsi="Times New Roman"/>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jc w:val="both"/>
    </w:pPr>
    <w:rPr>
      <w:rFonts w:ascii="Times New Roman" w:hAnsi="Times New Roman"/>
    </w:rPr>
  </w:style>
  <w:style w:type="paragraph" w:styleId="BlockText">
    <w:name w:val="Block Text"/>
    <w:basedOn w:val="Normal"/>
    <w:pPr>
      <w:ind w:left="1440" w:right="1440"/>
      <w:jc w:val="both"/>
    </w:pPr>
    <w:rPr>
      <w:rFonts w:ascii="Times New Roman" w:hAnsi="Times New Roman"/>
    </w:rPr>
  </w:style>
  <w:style w:type="paragraph" w:styleId="BodyText2">
    <w:name w:val="Body Text 2"/>
    <w:basedOn w:val="Normal"/>
    <w:pPr>
      <w:spacing w:line="360" w:lineRule="auto"/>
      <w:jc w:val="both"/>
    </w:pPr>
    <w:rPr>
      <w:rFonts w:ascii="Times New Roman" w:hAnsi="Times New Roman"/>
      <w:i/>
    </w:rPr>
  </w:style>
  <w:style w:type="paragraph" w:styleId="BodyText3">
    <w:name w:val="Body Text 3"/>
    <w:basedOn w:val="Normal"/>
    <w:pPr>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law requires a health care provider to obtain informed consent before performing a treatment or procedure</vt:lpstr>
    </vt:vector>
  </TitlesOfParts>
  <Company>Alaska Court System</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requires a health care provider to obtain informed consent before performing a treatment or procedure</dc:title>
  <dc:subject/>
  <dc:creator>cjohnson</dc:creator>
  <cp:keywords/>
  <dc:description/>
  <cp:lastModifiedBy>Michael Merrington</cp:lastModifiedBy>
  <cp:revision>3</cp:revision>
  <cp:lastPrinted>2002-08-07T00:26:00Z</cp:lastPrinted>
  <dcterms:created xsi:type="dcterms:W3CDTF">2017-04-04T18:49:00Z</dcterms:created>
  <dcterms:modified xsi:type="dcterms:W3CDTF">2017-04-04T18:49:00Z</dcterms:modified>
</cp:coreProperties>
</file>