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DF62" w14:textId="23683E94" w:rsidR="0025517E" w:rsidRPr="00447AA7" w:rsidRDefault="0025517E" w:rsidP="00447AA7">
      <w:pPr>
        <w:tabs>
          <w:tab w:val="left" w:pos="720"/>
        </w:tabs>
        <w:ind w:left="1440" w:hanging="1440"/>
        <w:jc w:val="both"/>
        <w:rPr>
          <w:rFonts w:ascii="Times New Roman" w:hAnsi="Times New Roman"/>
          <w:b/>
          <w:bCs/>
          <w:caps/>
          <w:sz w:val="28"/>
          <w:szCs w:val="28"/>
        </w:rPr>
      </w:pPr>
      <w:r w:rsidRPr="00447AA7">
        <w:rPr>
          <w:rFonts w:ascii="Times New Roman" w:hAnsi="Times New Roman"/>
          <w:b/>
          <w:bCs/>
          <w:sz w:val="28"/>
          <w:szCs w:val="28"/>
        </w:rPr>
        <w:t>8.03</w:t>
      </w:r>
      <w:r w:rsidR="001521C3" w:rsidRPr="00447AA7">
        <w:rPr>
          <w:rFonts w:ascii="Times New Roman" w:hAnsi="Times New Roman"/>
          <w:b/>
          <w:bCs/>
          <w:sz w:val="28"/>
          <w:szCs w:val="28"/>
        </w:rPr>
        <w:t>(C)</w:t>
      </w:r>
      <w:r w:rsidRPr="00447AA7">
        <w:rPr>
          <w:rFonts w:ascii="Times New Roman" w:hAnsi="Times New Roman"/>
          <w:b/>
          <w:bCs/>
          <w:sz w:val="28"/>
          <w:szCs w:val="28"/>
        </w:rPr>
        <w:tab/>
      </w:r>
      <w:r w:rsidRPr="00447AA7">
        <w:rPr>
          <w:rFonts w:ascii="Times New Roman" w:hAnsi="Times New Roman"/>
          <w:b/>
          <w:bCs/>
          <w:caps/>
          <w:sz w:val="28"/>
          <w:szCs w:val="28"/>
        </w:rPr>
        <w:t>Health Care ProVIDER Malpractice – Failure to Obtain Informed Consent</w:t>
      </w:r>
      <w:r w:rsidR="008B3319" w:rsidRPr="00447AA7">
        <w:rPr>
          <w:rFonts w:ascii="Times New Roman" w:hAnsi="Times New Roman"/>
          <w:b/>
          <w:bCs/>
          <w:caps/>
          <w:sz w:val="28"/>
          <w:szCs w:val="28"/>
        </w:rPr>
        <w:t>/</w:t>
      </w:r>
      <w:r w:rsidR="00AF0800" w:rsidRPr="00447AA7">
        <w:rPr>
          <w:rFonts w:ascii="Times New Roman" w:hAnsi="Times New Roman"/>
          <w:b/>
          <w:bCs/>
          <w:caps/>
          <w:sz w:val="28"/>
          <w:szCs w:val="28"/>
        </w:rPr>
        <w:t xml:space="preserve"> </w:t>
      </w:r>
      <w:r w:rsidR="00E73996" w:rsidRPr="00447AA7">
        <w:rPr>
          <w:rFonts w:ascii="Times New Roman" w:hAnsi="Times New Roman"/>
          <w:b/>
          <w:bCs/>
          <w:caps/>
          <w:sz w:val="28"/>
          <w:szCs w:val="28"/>
        </w:rPr>
        <w:t>Failure to communicate Material Information</w:t>
      </w:r>
      <w:r w:rsidR="00AF0800" w:rsidRPr="00447AA7">
        <w:rPr>
          <w:rFonts w:ascii="Times New Roman" w:hAnsi="Times New Roman"/>
          <w:b/>
          <w:bCs/>
          <w:caps/>
          <w:sz w:val="28"/>
          <w:szCs w:val="28"/>
        </w:rPr>
        <w:t xml:space="preserve"> </w:t>
      </w:r>
    </w:p>
    <w:p w14:paraId="0718A4A5" w14:textId="77777777" w:rsidR="0025517E" w:rsidRPr="00447AA7" w:rsidRDefault="0025517E">
      <w:pPr>
        <w:rPr>
          <w:rFonts w:ascii="Times New Roman" w:hAnsi="Times New Roman"/>
          <w:sz w:val="28"/>
          <w:szCs w:val="28"/>
        </w:rPr>
      </w:pPr>
    </w:p>
    <w:p w14:paraId="577112F3" w14:textId="2613A10F" w:rsidR="0025517E" w:rsidRPr="00447AA7" w:rsidRDefault="0025517E">
      <w:pPr>
        <w:pStyle w:val="BodyText"/>
        <w:rPr>
          <w:sz w:val="28"/>
          <w:szCs w:val="28"/>
        </w:rPr>
      </w:pPr>
      <w:r w:rsidRPr="00447AA7">
        <w:rPr>
          <w:sz w:val="28"/>
          <w:szCs w:val="28"/>
        </w:rPr>
        <w:t>The law requires a health care provider to</w:t>
      </w:r>
      <w:r w:rsidR="00CE7782" w:rsidRPr="00447AA7">
        <w:rPr>
          <w:sz w:val="28"/>
          <w:szCs w:val="28"/>
        </w:rPr>
        <w:t xml:space="preserve"> obtain informed consent before performing </w:t>
      </w:r>
      <w:r w:rsidR="00C6642C" w:rsidRPr="00447AA7">
        <w:rPr>
          <w:sz w:val="28"/>
          <w:szCs w:val="28"/>
        </w:rPr>
        <w:t xml:space="preserve">a treatment or procedure.  </w:t>
      </w:r>
      <w:r w:rsidRPr="00447AA7">
        <w:rPr>
          <w:sz w:val="28"/>
          <w:szCs w:val="28"/>
        </w:rPr>
        <w:t xml:space="preserve">If the health care provider fails to obtain informed consent, [he] [she] [it] may be responsible for the patient’s harm even though the treatment itself met the applicable standard of care.  </w:t>
      </w:r>
    </w:p>
    <w:p w14:paraId="27F0D948" w14:textId="77777777" w:rsidR="0025517E" w:rsidRPr="00447AA7" w:rsidRDefault="0025517E">
      <w:pPr>
        <w:spacing w:line="360" w:lineRule="auto"/>
        <w:jc w:val="both"/>
        <w:rPr>
          <w:rFonts w:ascii="Times New Roman" w:hAnsi="Times New Roman"/>
          <w:sz w:val="28"/>
          <w:szCs w:val="28"/>
        </w:rPr>
      </w:pPr>
    </w:p>
    <w:p w14:paraId="5DCC734D" w14:textId="77777777" w:rsidR="0025517E" w:rsidRPr="00447AA7" w:rsidRDefault="0025517E">
      <w:pPr>
        <w:spacing w:line="360" w:lineRule="auto"/>
        <w:jc w:val="both"/>
        <w:rPr>
          <w:rFonts w:ascii="Times New Roman" w:hAnsi="Times New Roman"/>
          <w:sz w:val="28"/>
          <w:szCs w:val="28"/>
        </w:rPr>
      </w:pPr>
      <w:r w:rsidRPr="00447AA7">
        <w:rPr>
          <w:rFonts w:ascii="Times New Roman" w:hAnsi="Times New Roman"/>
          <w:sz w:val="28"/>
          <w:szCs w:val="28"/>
        </w:rPr>
        <w:t>The plaintiff claims that the defendant failed to obtain informed consent. In order for the plaintiff to prevail on this claim, you must find it is more likely true than not true that:</w:t>
      </w:r>
    </w:p>
    <w:p w14:paraId="07702A24" w14:textId="77777777" w:rsidR="0025517E" w:rsidRPr="00447AA7" w:rsidRDefault="0025517E">
      <w:pPr>
        <w:spacing w:line="360" w:lineRule="auto"/>
        <w:jc w:val="both"/>
        <w:rPr>
          <w:rFonts w:ascii="Times New Roman" w:hAnsi="Times New Roman"/>
          <w:sz w:val="28"/>
          <w:szCs w:val="28"/>
        </w:rPr>
      </w:pPr>
    </w:p>
    <w:p w14:paraId="750D6065" w14:textId="06FDBF18" w:rsidR="0025517E" w:rsidRPr="00447AA7" w:rsidRDefault="0025517E">
      <w:pPr>
        <w:spacing w:line="360" w:lineRule="auto"/>
        <w:ind w:left="720" w:hanging="720"/>
        <w:jc w:val="both"/>
        <w:rPr>
          <w:rFonts w:ascii="Times New Roman" w:hAnsi="Times New Roman"/>
          <w:sz w:val="28"/>
          <w:szCs w:val="28"/>
        </w:rPr>
      </w:pPr>
      <w:r w:rsidRPr="00447AA7">
        <w:rPr>
          <w:rFonts w:ascii="Times New Roman" w:hAnsi="Times New Roman"/>
          <w:sz w:val="28"/>
          <w:szCs w:val="28"/>
        </w:rPr>
        <w:t>(1)</w:t>
      </w:r>
      <w:r w:rsidRPr="00447AA7">
        <w:rPr>
          <w:rFonts w:ascii="Times New Roman" w:hAnsi="Times New Roman"/>
          <w:sz w:val="28"/>
          <w:szCs w:val="28"/>
        </w:rPr>
        <w:tab/>
        <w:t xml:space="preserve">the defendant failed </w:t>
      </w:r>
      <w:r w:rsidR="00C6642C" w:rsidRPr="00447AA7">
        <w:rPr>
          <w:rFonts w:ascii="Times New Roman" w:hAnsi="Times New Roman"/>
          <w:sz w:val="28"/>
          <w:szCs w:val="28"/>
        </w:rPr>
        <w:t xml:space="preserve">to communicate material information </w:t>
      </w:r>
      <w:r w:rsidRPr="00447AA7">
        <w:rPr>
          <w:rFonts w:ascii="Times New Roman" w:hAnsi="Times New Roman"/>
          <w:sz w:val="28"/>
          <w:szCs w:val="28"/>
        </w:rPr>
        <w:t>to allow a reasonable person in the plaintiff’s position</w:t>
      </w:r>
      <w:r w:rsidR="00C6642C" w:rsidRPr="00447AA7">
        <w:rPr>
          <w:rFonts w:ascii="Times New Roman" w:hAnsi="Times New Roman"/>
          <w:sz w:val="28"/>
          <w:szCs w:val="28"/>
        </w:rPr>
        <w:t xml:space="preserve"> </w:t>
      </w:r>
      <w:r w:rsidRPr="00447AA7">
        <w:rPr>
          <w:rFonts w:ascii="Times New Roman" w:hAnsi="Times New Roman"/>
          <w:sz w:val="28"/>
          <w:szCs w:val="28"/>
        </w:rPr>
        <w:t>to make an informed and intelligent decision whether or not to proceed with the [insert type of treatment or procedure];</w:t>
      </w:r>
    </w:p>
    <w:p w14:paraId="1D38012C" w14:textId="77777777" w:rsidR="0025517E" w:rsidRPr="00447AA7" w:rsidRDefault="0025517E">
      <w:pPr>
        <w:spacing w:line="360" w:lineRule="auto"/>
        <w:ind w:left="720" w:hanging="720"/>
        <w:jc w:val="both"/>
        <w:rPr>
          <w:rFonts w:ascii="Times New Roman" w:hAnsi="Times New Roman"/>
          <w:sz w:val="28"/>
          <w:szCs w:val="28"/>
        </w:rPr>
      </w:pPr>
    </w:p>
    <w:p w14:paraId="0891BFD7" w14:textId="0D29D6BA" w:rsidR="0025517E" w:rsidRPr="00447AA7" w:rsidRDefault="0025517E">
      <w:pPr>
        <w:pStyle w:val="BodyTextIndent2"/>
        <w:spacing w:line="360" w:lineRule="auto"/>
        <w:jc w:val="both"/>
        <w:rPr>
          <w:sz w:val="28"/>
          <w:szCs w:val="28"/>
        </w:rPr>
      </w:pPr>
      <w:r w:rsidRPr="00447AA7">
        <w:rPr>
          <w:sz w:val="28"/>
          <w:szCs w:val="28"/>
        </w:rPr>
        <w:t>(2)</w:t>
      </w:r>
      <w:r w:rsidRPr="00447AA7">
        <w:rPr>
          <w:sz w:val="28"/>
          <w:szCs w:val="28"/>
        </w:rPr>
        <w:tab/>
        <w:t xml:space="preserve">the plaintiff would </w:t>
      </w:r>
      <w:r w:rsidR="00C2009A" w:rsidRPr="00447AA7">
        <w:rPr>
          <w:sz w:val="28"/>
          <w:szCs w:val="28"/>
        </w:rPr>
        <w:t>have decided</w:t>
      </w:r>
      <w:r w:rsidR="005321F7" w:rsidRPr="00447AA7">
        <w:rPr>
          <w:sz w:val="28"/>
          <w:szCs w:val="28"/>
        </w:rPr>
        <w:t xml:space="preserve"> </w:t>
      </w:r>
      <w:r w:rsidR="00704C53" w:rsidRPr="00447AA7">
        <w:rPr>
          <w:sz w:val="28"/>
          <w:szCs w:val="28"/>
        </w:rPr>
        <w:t xml:space="preserve">against </w:t>
      </w:r>
      <w:r w:rsidR="00383F38" w:rsidRPr="00447AA7">
        <w:rPr>
          <w:sz w:val="28"/>
          <w:szCs w:val="28"/>
        </w:rPr>
        <w:t>t</w:t>
      </w:r>
      <w:r w:rsidR="005321F7" w:rsidRPr="00447AA7">
        <w:rPr>
          <w:sz w:val="28"/>
          <w:szCs w:val="28"/>
        </w:rPr>
        <w:t>he [insert type of treatment or procedure]</w:t>
      </w:r>
      <w:r w:rsidRPr="00447AA7">
        <w:rPr>
          <w:sz w:val="28"/>
          <w:szCs w:val="28"/>
        </w:rPr>
        <w:t xml:space="preserve"> if [he] [she] had been provided such information; and</w:t>
      </w:r>
    </w:p>
    <w:p w14:paraId="5A796030" w14:textId="77777777" w:rsidR="0025517E" w:rsidRPr="00447AA7" w:rsidRDefault="0025517E">
      <w:pPr>
        <w:pStyle w:val="BodyTextIndent2"/>
        <w:spacing w:line="360" w:lineRule="auto"/>
        <w:jc w:val="both"/>
        <w:rPr>
          <w:sz w:val="28"/>
          <w:szCs w:val="28"/>
        </w:rPr>
      </w:pPr>
    </w:p>
    <w:p w14:paraId="7D6BFD68" w14:textId="7220A894" w:rsidR="0025517E" w:rsidRPr="00447AA7" w:rsidRDefault="0025517E">
      <w:pPr>
        <w:spacing w:line="360" w:lineRule="auto"/>
        <w:ind w:left="720" w:hanging="720"/>
        <w:jc w:val="both"/>
        <w:rPr>
          <w:rFonts w:ascii="Times New Roman" w:hAnsi="Times New Roman"/>
          <w:sz w:val="28"/>
          <w:szCs w:val="28"/>
          <w:u w:val="single"/>
        </w:rPr>
      </w:pPr>
      <w:r w:rsidRPr="00447AA7">
        <w:rPr>
          <w:rFonts w:ascii="Times New Roman" w:hAnsi="Times New Roman"/>
          <w:sz w:val="28"/>
          <w:szCs w:val="28"/>
        </w:rPr>
        <w:t>(3)</w:t>
      </w:r>
      <w:r w:rsidRPr="00447AA7">
        <w:rPr>
          <w:rFonts w:ascii="Times New Roman" w:hAnsi="Times New Roman"/>
          <w:sz w:val="28"/>
          <w:szCs w:val="28"/>
        </w:rPr>
        <w:tab/>
      </w:r>
      <w:r w:rsidR="00155957" w:rsidRPr="00447AA7">
        <w:rPr>
          <w:rFonts w:ascii="Times New Roman" w:hAnsi="Times New Roman"/>
          <w:sz w:val="28"/>
          <w:szCs w:val="28"/>
        </w:rPr>
        <w:t xml:space="preserve">the </w:t>
      </w:r>
      <w:r w:rsidR="00CE52AB" w:rsidRPr="00447AA7">
        <w:rPr>
          <w:rFonts w:ascii="Times New Roman" w:hAnsi="Times New Roman"/>
          <w:sz w:val="28"/>
          <w:szCs w:val="28"/>
        </w:rPr>
        <w:t xml:space="preserve">failure to </w:t>
      </w:r>
      <w:r w:rsidR="00E00A7E" w:rsidRPr="00447AA7">
        <w:rPr>
          <w:rFonts w:ascii="Times New Roman" w:hAnsi="Times New Roman"/>
          <w:sz w:val="28"/>
          <w:szCs w:val="28"/>
        </w:rPr>
        <w:t>[insert type of treatment or procedure] was a substantial factor in c</w:t>
      </w:r>
      <w:r w:rsidR="007920F9" w:rsidRPr="00447AA7">
        <w:rPr>
          <w:rFonts w:ascii="Times New Roman" w:hAnsi="Times New Roman"/>
          <w:sz w:val="28"/>
          <w:szCs w:val="28"/>
        </w:rPr>
        <w:t>ausing</w:t>
      </w:r>
      <w:r w:rsidR="00336CD0" w:rsidRPr="00447AA7">
        <w:rPr>
          <w:rFonts w:ascii="Times New Roman" w:hAnsi="Times New Roman"/>
          <w:sz w:val="28"/>
          <w:szCs w:val="28"/>
        </w:rPr>
        <w:t xml:space="preserve"> </w:t>
      </w:r>
      <w:r w:rsidRPr="00447AA7">
        <w:rPr>
          <w:rFonts w:ascii="Times New Roman" w:hAnsi="Times New Roman"/>
          <w:sz w:val="28"/>
          <w:szCs w:val="28"/>
        </w:rPr>
        <w:t xml:space="preserve">plaintiff’s harm. </w:t>
      </w:r>
      <w:r w:rsidRPr="00447AA7">
        <w:rPr>
          <w:rFonts w:ascii="Times New Roman" w:hAnsi="Times New Roman"/>
          <w:sz w:val="28"/>
          <w:szCs w:val="28"/>
          <w:u w:val="single"/>
        </w:rPr>
        <w:t xml:space="preserve"> </w:t>
      </w:r>
    </w:p>
    <w:p w14:paraId="32E5752B" w14:textId="77777777" w:rsidR="0025517E" w:rsidRPr="00447AA7" w:rsidRDefault="0025517E">
      <w:pPr>
        <w:spacing w:line="360" w:lineRule="auto"/>
        <w:ind w:firstLine="720"/>
        <w:jc w:val="both"/>
        <w:rPr>
          <w:rFonts w:ascii="Times New Roman" w:hAnsi="Times New Roman"/>
          <w:sz w:val="28"/>
          <w:szCs w:val="28"/>
        </w:rPr>
      </w:pPr>
    </w:p>
    <w:p w14:paraId="27CCCC2A" w14:textId="10ECE576" w:rsidR="0025517E" w:rsidRPr="00447AA7" w:rsidRDefault="0025517E">
      <w:pPr>
        <w:spacing w:line="360" w:lineRule="auto"/>
        <w:jc w:val="both"/>
        <w:rPr>
          <w:rFonts w:ascii="Times New Roman" w:hAnsi="Times New Roman"/>
          <w:sz w:val="28"/>
          <w:szCs w:val="28"/>
        </w:rPr>
      </w:pPr>
      <w:r w:rsidRPr="00447AA7">
        <w:rPr>
          <w:rFonts w:ascii="Times New Roman" w:hAnsi="Times New Roman"/>
          <w:sz w:val="28"/>
          <w:szCs w:val="28"/>
        </w:rPr>
        <w:t>I will now explain to you what the terms “material risk” and “</w:t>
      </w:r>
      <w:r w:rsidR="00AF7D21" w:rsidRPr="00447AA7">
        <w:rPr>
          <w:rFonts w:ascii="Times New Roman" w:hAnsi="Times New Roman"/>
          <w:sz w:val="28"/>
          <w:szCs w:val="28"/>
        </w:rPr>
        <w:t>substantial factor</w:t>
      </w:r>
      <w:r w:rsidRPr="00447AA7">
        <w:rPr>
          <w:rFonts w:ascii="Times New Roman" w:hAnsi="Times New Roman"/>
          <w:sz w:val="28"/>
          <w:szCs w:val="28"/>
        </w:rPr>
        <w:t xml:space="preserve">” mean.  </w:t>
      </w:r>
    </w:p>
    <w:p w14:paraId="2C622C2D" w14:textId="77777777" w:rsidR="00447AA7" w:rsidRDefault="00447AA7" w:rsidP="00447AA7">
      <w:pPr>
        <w:pStyle w:val="BodyText3"/>
        <w:jc w:val="center"/>
        <w:rPr>
          <w:rFonts w:ascii="Times New Roman" w:hAnsi="Times New Roman"/>
          <w:b/>
          <w:bCs/>
          <w:sz w:val="28"/>
          <w:szCs w:val="28"/>
          <w:u w:val="single"/>
        </w:rPr>
      </w:pPr>
    </w:p>
    <w:p w14:paraId="7FDD17EB" w14:textId="77777777" w:rsidR="00447AA7" w:rsidRDefault="00447AA7" w:rsidP="00447AA7">
      <w:pPr>
        <w:pStyle w:val="BodyText3"/>
        <w:jc w:val="center"/>
        <w:rPr>
          <w:rFonts w:ascii="Times New Roman" w:hAnsi="Times New Roman"/>
          <w:b/>
          <w:bCs/>
          <w:sz w:val="28"/>
          <w:szCs w:val="28"/>
          <w:u w:val="single"/>
        </w:rPr>
      </w:pPr>
    </w:p>
    <w:p w14:paraId="6B1DE640" w14:textId="77777777" w:rsidR="00447AA7" w:rsidRDefault="00447AA7" w:rsidP="00447AA7">
      <w:pPr>
        <w:pStyle w:val="BodyText3"/>
        <w:jc w:val="center"/>
        <w:rPr>
          <w:rFonts w:ascii="Times New Roman" w:hAnsi="Times New Roman"/>
          <w:b/>
          <w:bCs/>
          <w:sz w:val="28"/>
          <w:szCs w:val="28"/>
          <w:u w:val="single"/>
        </w:rPr>
      </w:pPr>
    </w:p>
    <w:p w14:paraId="6AB59606" w14:textId="5FEB90C6" w:rsidR="00447AA7" w:rsidRDefault="00447AA7" w:rsidP="00447AA7">
      <w:pPr>
        <w:pStyle w:val="BodyText3"/>
        <w:jc w:val="center"/>
        <w:rPr>
          <w:rFonts w:ascii="Times New Roman" w:hAnsi="Times New Roman"/>
          <w:b/>
          <w:bCs/>
          <w:sz w:val="28"/>
          <w:szCs w:val="28"/>
          <w:u w:val="single"/>
        </w:rPr>
      </w:pPr>
      <w:r>
        <w:rPr>
          <w:rFonts w:ascii="Times New Roman" w:hAnsi="Times New Roman"/>
          <w:b/>
          <w:bCs/>
          <w:sz w:val="28"/>
          <w:szCs w:val="28"/>
          <w:u w:val="single"/>
        </w:rPr>
        <w:lastRenderedPageBreak/>
        <w:t>Use Note</w:t>
      </w:r>
    </w:p>
    <w:p w14:paraId="13F2C82E" w14:textId="77777777" w:rsidR="00447AA7" w:rsidRPr="00447AA7" w:rsidRDefault="00447AA7" w:rsidP="00447AA7">
      <w:pPr>
        <w:pStyle w:val="BodyText3"/>
        <w:jc w:val="center"/>
        <w:rPr>
          <w:rFonts w:ascii="Times New Roman" w:hAnsi="Times New Roman"/>
          <w:b/>
          <w:bCs/>
          <w:sz w:val="28"/>
          <w:szCs w:val="28"/>
          <w:u w:val="single"/>
        </w:rPr>
      </w:pPr>
    </w:p>
    <w:p w14:paraId="1FD143ED" w14:textId="514BF28A" w:rsidR="007E2384" w:rsidRPr="00447AA7" w:rsidRDefault="0025517E">
      <w:pPr>
        <w:pStyle w:val="BodyText3"/>
        <w:rPr>
          <w:rFonts w:ascii="Times New Roman" w:hAnsi="Times New Roman"/>
          <w:sz w:val="28"/>
          <w:szCs w:val="28"/>
        </w:rPr>
      </w:pPr>
      <w:r w:rsidRPr="00447AA7">
        <w:rPr>
          <w:rFonts w:ascii="Times New Roman" w:hAnsi="Times New Roman"/>
          <w:sz w:val="28"/>
          <w:szCs w:val="28"/>
        </w:rPr>
        <w:t>This instruction is to be used when the plaintiff alleges a lack of informed consent. In cases where the plaintiff alleges a complete lack of consent, Instruction 8.04 should be used. If a plaintiff raises both lack of consent, and alternatively lack of informed consent, both Instructions 8.03</w:t>
      </w:r>
      <w:r w:rsidR="0038076E">
        <w:rPr>
          <w:rFonts w:ascii="Times New Roman" w:hAnsi="Times New Roman"/>
          <w:sz w:val="28"/>
          <w:szCs w:val="28"/>
        </w:rPr>
        <w:t>(C)</w:t>
      </w:r>
      <w:r w:rsidRPr="00447AA7">
        <w:rPr>
          <w:rFonts w:ascii="Times New Roman" w:hAnsi="Times New Roman"/>
          <w:sz w:val="28"/>
          <w:szCs w:val="28"/>
        </w:rPr>
        <w:t xml:space="preserve"> and 8.04 should be given. </w:t>
      </w:r>
    </w:p>
    <w:p w14:paraId="19BFF951" w14:textId="77777777" w:rsidR="00367BB1" w:rsidRPr="00447AA7" w:rsidRDefault="00367BB1">
      <w:pPr>
        <w:pStyle w:val="BodyText3"/>
        <w:rPr>
          <w:rFonts w:ascii="Times New Roman" w:hAnsi="Times New Roman"/>
          <w:sz w:val="28"/>
          <w:szCs w:val="28"/>
        </w:rPr>
      </w:pPr>
    </w:p>
    <w:p w14:paraId="56FD4483" w14:textId="01224FC2" w:rsidR="0025517E" w:rsidRPr="00447AA7" w:rsidRDefault="00755440">
      <w:pPr>
        <w:pStyle w:val="BodyText3"/>
        <w:rPr>
          <w:rFonts w:ascii="Times New Roman" w:hAnsi="Times New Roman"/>
          <w:sz w:val="28"/>
          <w:szCs w:val="28"/>
        </w:rPr>
      </w:pPr>
      <w:r w:rsidRPr="00447AA7">
        <w:rPr>
          <w:rFonts w:ascii="Times New Roman" w:hAnsi="Times New Roman"/>
          <w:sz w:val="28"/>
          <w:szCs w:val="28"/>
        </w:rPr>
        <w:t>An informed consen</w:t>
      </w:r>
      <w:r w:rsidR="007F1047" w:rsidRPr="00447AA7">
        <w:rPr>
          <w:rFonts w:ascii="Times New Roman" w:hAnsi="Times New Roman"/>
          <w:sz w:val="28"/>
          <w:szCs w:val="28"/>
        </w:rPr>
        <w:t xml:space="preserve">t claim can arise when a physician fails to communicate material information that a reasonable patient would want to know before choosing </w:t>
      </w:r>
      <w:r w:rsidR="00AE4CAC" w:rsidRPr="00447AA7">
        <w:rPr>
          <w:rFonts w:ascii="Times New Roman" w:hAnsi="Times New Roman"/>
          <w:sz w:val="28"/>
          <w:szCs w:val="28"/>
        </w:rPr>
        <w:t>the recommended</w:t>
      </w:r>
      <w:r w:rsidR="007F1047" w:rsidRPr="00447AA7">
        <w:rPr>
          <w:rFonts w:ascii="Times New Roman" w:hAnsi="Times New Roman"/>
          <w:sz w:val="28"/>
          <w:szCs w:val="28"/>
        </w:rPr>
        <w:t xml:space="preserve"> treatment or procedure, even if that material information does not involve a </w:t>
      </w:r>
      <w:r w:rsidR="00AE4CAC" w:rsidRPr="00447AA7">
        <w:rPr>
          <w:rFonts w:ascii="Times New Roman" w:hAnsi="Times New Roman"/>
          <w:sz w:val="28"/>
          <w:szCs w:val="28"/>
        </w:rPr>
        <w:t xml:space="preserve">general </w:t>
      </w:r>
      <w:r w:rsidR="007F1047" w:rsidRPr="00447AA7">
        <w:rPr>
          <w:rFonts w:ascii="Times New Roman" w:hAnsi="Times New Roman"/>
          <w:sz w:val="28"/>
          <w:szCs w:val="28"/>
        </w:rPr>
        <w:t xml:space="preserve">risk of the procedure.  </w:t>
      </w:r>
      <w:r w:rsidR="0007316D" w:rsidRPr="00447AA7">
        <w:rPr>
          <w:rFonts w:ascii="Times New Roman" w:hAnsi="Times New Roman"/>
          <w:i/>
          <w:iCs/>
          <w:sz w:val="28"/>
          <w:szCs w:val="28"/>
        </w:rPr>
        <w:t xml:space="preserve">See Harrold v. </w:t>
      </w:r>
      <w:proofErr w:type="spellStart"/>
      <w:r w:rsidR="0007316D" w:rsidRPr="00447AA7">
        <w:rPr>
          <w:rFonts w:ascii="Times New Roman" w:hAnsi="Times New Roman"/>
          <w:i/>
          <w:iCs/>
          <w:sz w:val="28"/>
          <w:szCs w:val="28"/>
        </w:rPr>
        <w:t>Artwohl</w:t>
      </w:r>
      <w:proofErr w:type="spellEnd"/>
      <w:r w:rsidR="0007316D" w:rsidRPr="00447AA7">
        <w:rPr>
          <w:rFonts w:ascii="Times New Roman" w:hAnsi="Times New Roman"/>
          <w:sz w:val="28"/>
          <w:szCs w:val="28"/>
        </w:rPr>
        <w:t xml:space="preserve">, 132 P.3d 276, 280-81 (Alaska </w:t>
      </w:r>
      <w:r w:rsidR="00E07A7B" w:rsidRPr="00447AA7">
        <w:rPr>
          <w:rFonts w:ascii="Times New Roman" w:hAnsi="Times New Roman"/>
          <w:sz w:val="28"/>
          <w:szCs w:val="28"/>
        </w:rPr>
        <w:t>2006) (</w:t>
      </w:r>
      <w:r w:rsidR="0007316D" w:rsidRPr="00447AA7">
        <w:rPr>
          <w:rFonts w:ascii="Times New Roman" w:hAnsi="Times New Roman"/>
          <w:sz w:val="28"/>
          <w:szCs w:val="28"/>
        </w:rPr>
        <w:t xml:space="preserve">finding that the physician’s failure to inform the patient that a CT scan could rule out the need for surgery was a basis for </w:t>
      </w:r>
      <w:r w:rsidR="00201910" w:rsidRPr="00447AA7">
        <w:rPr>
          <w:rFonts w:ascii="Times New Roman" w:hAnsi="Times New Roman"/>
          <w:sz w:val="28"/>
          <w:szCs w:val="28"/>
        </w:rPr>
        <w:t>an informed consent claim).</w:t>
      </w:r>
      <w:r w:rsidR="00383F38" w:rsidRPr="00447AA7">
        <w:rPr>
          <w:rFonts w:ascii="Times New Roman" w:hAnsi="Times New Roman"/>
          <w:sz w:val="28"/>
          <w:szCs w:val="28"/>
        </w:rPr>
        <w:t xml:space="preserve">  </w:t>
      </w:r>
      <w:r w:rsidR="00201910" w:rsidRPr="00447AA7">
        <w:rPr>
          <w:rFonts w:ascii="Times New Roman" w:hAnsi="Times New Roman"/>
          <w:sz w:val="28"/>
          <w:szCs w:val="28"/>
        </w:rPr>
        <w:t xml:space="preserve">This instruction should be given when the informed consent claim involves an allegation that the physician or provider failed to provide the patient with material information </w:t>
      </w:r>
      <w:r w:rsidR="00BC18B3" w:rsidRPr="00447AA7">
        <w:rPr>
          <w:rFonts w:ascii="Times New Roman" w:hAnsi="Times New Roman"/>
          <w:sz w:val="28"/>
          <w:szCs w:val="28"/>
        </w:rPr>
        <w:t>that a reasonable patient would want to know before consenting to</w:t>
      </w:r>
      <w:r w:rsidR="00FB7C05" w:rsidRPr="00447AA7">
        <w:rPr>
          <w:rFonts w:ascii="Times New Roman" w:hAnsi="Times New Roman"/>
          <w:sz w:val="28"/>
          <w:szCs w:val="28"/>
        </w:rPr>
        <w:t xml:space="preserve"> the procedure or treatment.</w:t>
      </w:r>
      <w:r w:rsidR="00BC18B3" w:rsidRPr="00447AA7">
        <w:rPr>
          <w:rFonts w:ascii="Times New Roman" w:hAnsi="Times New Roman"/>
          <w:sz w:val="28"/>
          <w:szCs w:val="28"/>
        </w:rPr>
        <w:t xml:space="preserve"> </w:t>
      </w:r>
      <w:r w:rsidR="0025517E" w:rsidRPr="00447AA7">
        <w:rPr>
          <w:rFonts w:ascii="Times New Roman" w:hAnsi="Times New Roman"/>
          <w:sz w:val="28"/>
          <w:szCs w:val="28"/>
        </w:rPr>
        <w:t>Instruction 2.04 (Definition of Preponderance), and Instruction 3.0</w:t>
      </w:r>
      <w:r w:rsidR="008B3319" w:rsidRPr="00447AA7">
        <w:rPr>
          <w:rFonts w:ascii="Times New Roman" w:hAnsi="Times New Roman"/>
          <w:sz w:val="28"/>
          <w:szCs w:val="28"/>
        </w:rPr>
        <w:t>7</w:t>
      </w:r>
      <w:r w:rsidR="0025517E" w:rsidRPr="00447AA7">
        <w:rPr>
          <w:rFonts w:ascii="Times New Roman" w:hAnsi="Times New Roman"/>
          <w:sz w:val="28"/>
          <w:szCs w:val="28"/>
        </w:rPr>
        <w:t xml:space="preserve"> (</w:t>
      </w:r>
      <w:r w:rsidR="008B3319" w:rsidRPr="00447AA7">
        <w:rPr>
          <w:rFonts w:ascii="Times New Roman" w:hAnsi="Times New Roman"/>
          <w:sz w:val="28"/>
          <w:szCs w:val="28"/>
        </w:rPr>
        <w:t>Substantial Factor</w:t>
      </w:r>
      <w:r w:rsidR="0025517E" w:rsidRPr="00447AA7">
        <w:rPr>
          <w:rFonts w:ascii="Times New Roman" w:hAnsi="Times New Roman"/>
          <w:sz w:val="28"/>
          <w:szCs w:val="28"/>
        </w:rPr>
        <w:t xml:space="preserve">), and Instruction 8.05 (Definition of Material Risk) should be given following this series of instructions.  </w:t>
      </w:r>
    </w:p>
    <w:p w14:paraId="04097223" w14:textId="1A3F4BE5" w:rsidR="0025517E" w:rsidRDefault="0025517E">
      <w:pPr>
        <w:rPr>
          <w:rFonts w:ascii="Times New Roman" w:hAnsi="Times New Roman"/>
          <w:sz w:val="28"/>
          <w:szCs w:val="28"/>
        </w:rPr>
      </w:pPr>
    </w:p>
    <w:p w14:paraId="094F46F8" w14:textId="15671A13" w:rsidR="00447AA7" w:rsidRDefault="00447AA7" w:rsidP="00447AA7">
      <w:pPr>
        <w:jc w:val="center"/>
        <w:rPr>
          <w:rFonts w:ascii="Times New Roman" w:hAnsi="Times New Roman"/>
          <w:b/>
          <w:bCs/>
          <w:sz w:val="28"/>
          <w:szCs w:val="28"/>
          <w:u w:val="single"/>
        </w:rPr>
      </w:pPr>
      <w:r>
        <w:rPr>
          <w:rFonts w:ascii="Times New Roman" w:hAnsi="Times New Roman"/>
          <w:b/>
          <w:bCs/>
          <w:sz w:val="28"/>
          <w:szCs w:val="28"/>
          <w:u w:val="single"/>
        </w:rPr>
        <w:t>Comment</w:t>
      </w:r>
    </w:p>
    <w:p w14:paraId="2F600C17" w14:textId="77777777" w:rsidR="00447AA7" w:rsidRPr="00447AA7" w:rsidRDefault="00447AA7" w:rsidP="00447AA7">
      <w:pPr>
        <w:jc w:val="center"/>
        <w:rPr>
          <w:rFonts w:ascii="Times New Roman" w:hAnsi="Times New Roman"/>
          <w:b/>
          <w:bCs/>
          <w:sz w:val="28"/>
          <w:szCs w:val="28"/>
          <w:u w:val="single"/>
        </w:rPr>
      </w:pPr>
    </w:p>
    <w:p w14:paraId="552E7B14" w14:textId="5D52FA28" w:rsidR="006F0B01" w:rsidRPr="00447AA7" w:rsidRDefault="0025517E" w:rsidP="00923D2F">
      <w:pPr>
        <w:shd w:val="clear" w:color="auto" w:fill="FFFFFF"/>
        <w:spacing w:after="240"/>
        <w:jc w:val="both"/>
        <w:rPr>
          <w:rFonts w:ascii="Times New Roman" w:hAnsi="Times New Roman"/>
          <w:color w:val="000000"/>
          <w:sz w:val="28"/>
          <w:szCs w:val="28"/>
        </w:rPr>
      </w:pPr>
      <w:r w:rsidRPr="00447AA7">
        <w:rPr>
          <w:rFonts w:ascii="Times New Roman" w:hAnsi="Times New Roman"/>
          <w:sz w:val="28"/>
          <w:szCs w:val="28"/>
        </w:rPr>
        <w:t xml:space="preserve">In Alaska the doctrine of informed consent is controlled by AS 09.55.556 which allocates the burden of proof in informed consent cases.  </w:t>
      </w:r>
      <w:r w:rsidR="006F0B01" w:rsidRPr="00447AA7">
        <w:rPr>
          <w:rFonts w:ascii="Times New Roman" w:hAnsi="Times New Roman"/>
          <w:color w:val="000000"/>
          <w:sz w:val="28"/>
          <w:szCs w:val="28"/>
        </w:rPr>
        <w:t>“The informed consent doctrine is based on the principle that every human being of adult years and sound mind has a right to determine what shall be done to his or her own body.”</w:t>
      </w:r>
      <w:r w:rsidR="006F0B01" w:rsidRPr="00447AA7">
        <w:rPr>
          <w:rFonts w:ascii="Times New Roman" w:hAnsi="Times New Roman"/>
          <w:color w:val="000000"/>
          <w:sz w:val="28"/>
          <w:szCs w:val="28"/>
          <w:vertAlign w:val="superscript"/>
        </w:rPr>
        <w:t xml:space="preserve"> </w:t>
      </w:r>
      <w:r w:rsidR="00383F38" w:rsidRPr="00447AA7">
        <w:rPr>
          <w:rFonts w:ascii="Times New Roman" w:hAnsi="Times New Roman"/>
          <w:color w:val="000000"/>
          <w:sz w:val="28"/>
          <w:szCs w:val="28"/>
          <w:vertAlign w:val="superscript"/>
        </w:rPr>
        <w:t xml:space="preserve"> </w:t>
      </w:r>
      <w:r w:rsidR="006F0B01" w:rsidRPr="00447AA7">
        <w:rPr>
          <w:rFonts w:ascii="Times New Roman" w:hAnsi="Times New Roman"/>
          <w:i/>
          <w:iCs/>
          <w:color w:val="000000"/>
          <w:sz w:val="28"/>
          <w:szCs w:val="28"/>
        </w:rPr>
        <w:t>See</w:t>
      </w:r>
      <w:r w:rsidR="006F0B01" w:rsidRPr="00447AA7">
        <w:rPr>
          <w:rFonts w:ascii="Times New Roman" w:hAnsi="Times New Roman"/>
          <w:color w:val="000000"/>
          <w:sz w:val="28"/>
          <w:szCs w:val="28"/>
        </w:rPr>
        <w:t xml:space="preserve"> </w:t>
      </w:r>
      <w:r w:rsidR="006F0B01" w:rsidRPr="00447AA7">
        <w:rPr>
          <w:rFonts w:ascii="Times New Roman" w:hAnsi="Times New Roman"/>
          <w:i/>
          <w:iCs/>
          <w:color w:val="000000"/>
          <w:sz w:val="28"/>
          <w:szCs w:val="28"/>
        </w:rPr>
        <w:t xml:space="preserve">Parker v. </w:t>
      </w:r>
      <w:proofErr w:type="spellStart"/>
      <w:r w:rsidR="006F0B01" w:rsidRPr="00447AA7">
        <w:rPr>
          <w:rFonts w:ascii="Times New Roman" w:hAnsi="Times New Roman"/>
          <w:i/>
          <w:iCs/>
          <w:color w:val="000000"/>
          <w:sz w:val="28"/>
          <w:szCs w:val="28"/>
        </w:rPr>
        <w:t>Tomera</w:t>
      </w:r>
      <w:proofErr w:type="spellEnd"/>
      <w:r w:rsidR="006F0B01" w:rsidRPr="00447AA7">
        <w:rPr>
          <w:rFonts w:ascii="Times New Roman" w:hAnsi="Times New Roman"/>
          <w:color w:val="000000"/>
          <w:sz w:val="28"/>
          <w:szCs w:val="28"/>
        </w:rPr>
        <w:t>, 89 P.3d 761, 769 (Alaska 2004)</w:t>
      </w:r>
      <w:r w:rsidR="00383F38" w:rsidRPr="00447AA7">
        <w:rPr>
          <w:rFonts w:ascii="Times New Roman" w:hAnsi="Times New Roman"/>
          <w:color w:val="000000"/>
          <w:sz w:val="28"/>
          <w:szCs w:val="28"/>
        </w:rPr>
        <w:t xml:space="preserve"> </w:t>
      </w:r>
      <w:r w:rsidR="006F0B01" w:rsidRPr="00447AA7">
        <w:rPr>
          <w:rFonts w:ascii="Times New Roman" w:hAnsi="Times New Roman"/>
          <w:color w:val="000000"/>
          <w:sz w:val="28"/>
          <w:szCs w:val="28"/>
        </w:rPr>
        <w:t xml:space="preserve">(quoting </w:t>
      </w:r>
      <w:proofErr w:type="spellStart"/>
      <w:r w:rsidR="006F0B01" w:rsidRPr="00447AA7">
        <w:rPr>
          <w:rFonts w:ascii="Times New Roman" w:hAnsi="Times New Roman"/>
          <w:i/>
          <w:iCs/>
          <w:color w:val="000000"/>
          <w:sz w:val="28"/>
          <w:szCs w:val="28"/>
        </w:rPr>
        <w:t>Korman</w:t>
      </w:r>
      <w:proofErr w:type="spellEnd"/>
      <w:r w:rsidR="006F0B01" w:rsidRPr="00447AA7">
        <w:rPr>
          <w:rFonts w:ascii="Times New Roman" w:hAnsi="Times New Roman"/>
          <w:i/>
          <w:iCs/>
          <w:color w:val="000000"/>
          <w:sz w:val="28"/>
          <w:szCs w:val="28"/>
        </w:rPr>
        <w:t xml:space="preserve"> v. </w:t>
      </w:r>
      <w:proofErr w:type="spellStart"/>
      <w:r w:rsidR="006F0B01" w:rsidRPr="00447AA7">
        <w:rPr>
          <w:rFonts w:ascii="Times New Roman" w:hAnsi="Times New Roman"/>
          <w:i/>
          <w:iCs/>
          <w:color w:val="000000"/>
          <w:sz w:val="28"/>
          <w:szCs w:val="28"/>
        </w:rPr>
        <w:t>Mallin</w:t>
      </w:r>
      <w:proofErr w:type="spellEnd"/>
      <w:r w:rsidR="006F0B01" w:rsidRPr="00447AA7">
        <w:rPr>
          <w:rFonts w:ascii="Times New Roman" w:hAnsi="Times New Roman"/>
          <w:color w:val="000000"/>
          <w:sz w:val="28"/>
          <w:szCs w:val="28"/>
        </w:rPr>
        <w:t>, 858 P.2d 1145, 1149 (Alaska 1993)</w:t>
      </w:r>
      <w:r w:rsidR="005C16E4" w:rsidRPr="00447AA7">
        <w:rPr>
          <w:rFonts w:ascii="Times New Roman" w:hAnsi="Times New Roman"/>
          <w:color w:val="000000"/>
          <w:sz w:val="28"/>
          <w:szCs w:val="28"/>
        </w:rPr>
        <w:t>)</w:t>
      </w:r>
      <w:r w:rsidR="006F0B01" w:rsidRPr="00447AA7">
        <w:rPr>
          <w:rFonts w:ascii="Times New Roman" w:hAnsi="Times New Roman"/>
          <w:color w:val="000000"/>
          <w:sz w:val="28"/>
          <w:szCs w:val="28"/>
        </w:rPr>
        <w:t>.</w:t>
      </w:r>
    </w:p>
    <w:p w14:paraId="796C62EE" w14:textId="09C52A03" w:rsidR="0025517E" w:rsidRPr="00447AA7" w:rsidRDefault="0025517E">
      <w:pPr>
        <w:jc w:val="both"/>
        <w:rPr>
          <w:rFonts w:ascii="Times New Roman" w:hAnsi="Times New Roman"/>
          <w:sz w:val="28"/>
          <w:szCs w:val="28"/>
        </w:rPr>
      </w:pPr>
      <w:r w:rsidRPr="00447AA7">
        <w:rPr>
          <w:rFonts w:ascii="Times New Roman" w:hAnsi="Times New Roman"/>
          <w:sz w:val="28"/>
          <w:szCs w:val="28"/>
        </w:rPr>
        <w:t xml:space="preserve">This instruction is based primarily on the statute and </w:t>
      </w:r>
      <w:proofErr w:type="spellStart"/>
      <w:r w:rsidRPr="00447AA7">
        <w:rPr>
          <w:rFonts w:ascii="Times New Roman" w:hAnsi="Times New Roman"/>
          <w:i/>
          <w:iCs/>
          <w:sz w:val="28"/>
          <w:szCs w:val="28"/>
        </w:rPr>
        <w:t>Korman</w:t>
      </w:r>
      <w:proofErr w:type="spellEnd"/>
      <w:r w:rsidRPr="00447AA7">
        <w:rPr>
          <w:rFonts w:ascii="Times New Roman" w:hAnsi="Times New Roman"/>
          <w:i/>
          <w:iCs/>
          <w:sz w:val="28"/>
          <w:szCs w:val="28"/>
        </w:rPr>
        <w:t xml:space="preserve"> v. </w:t>
      </w:r>
      <w:proofErr w:type="spellStart"/>
      <w:r w:rsidRPr="00447AA7">
        <w:rPr>
          <w:rFonts w:ascii="Times New Roman" w:hAnsi="Times New Roman"/>
          <w:i/>
          <w:iCs/>
          <w:sz w:val="28"/>
          <w:szCs w:val="28"/>
        </w:rPr>
        <w:t>Mallin</w:t>
      </w:r>
      <w:proofErr w:type="spellEnd"/>
      <w:r w:rsidRPr="00447AA7">
        <w:rPr>
          <w:rFonts w:ascii="Times New Roman" w:hAnsi="Times New Roman"/>
          <w:sz w:val="28"/>
          <w:szCs w:val="28"/>
        </w:rPr>
        <w:t>, 858 P.2d 1145 (Alaska 1993), which interprets the phrase “common risks” in the statute to mean “material risks.”  The “</w:t>
      </w:r>
      <w:r w:rsidR="00561D82" w:rsidRPr="00447AA7">
        <w:rPr>
          <w:rFonts w:ascii="Times New Roman" w:hAnsi="Times New Roman"/>
          <w:sz w:val="28"/>
          <w:szCs w:val="28"/>
        </w:rPr>
        <w:t>substantial factor</w:t>
      </w:r>
      <w:r w:rsidRPr="00447AA7">
        <w:rPr>
          <w:rFonts w:ascii="Times New Roman" w:hAnsi="Times New Roman"/>
          <w:sz w:val="28"/>
          <w:szCs w:val="28"/>
        </w:rPr>
        <w:t>” requirement in the instruction is not expressly set out in the statute, but is required by general tort principles.</w:t>
      </w:r>
      <w:r w:rsidR="00383F38" w:rsidRPr="00447AA7">
        <w:rPr>
          <w:rFonts w:ascii="Times New Roman" w:hAnsi="Times New Roman"/>
          <w:sz w:val="28"/>
          <w:szCs w:val="28"/>
        </w:rPr>
        <w:t xml:space="preserve"> </w:t>
      </w:r>
      <w:r w:rsidRPr="00447AA7">
        <w:rPr>
          <w:rFonts w:ascii="Times New Roman" w:hAnsi="Times New Roman"/>
          <w:sz w:val="28"/>
          <w:szCs w:val="28"/>
        </w:rPr>
        <w:t xml:space="preserve"> </w:t>
      </w:r>
      <w:r w:rsidR="006313AA" w:rsidRPr="00447AA7">
        <w:rPr>
          <w:rFonts w:ascii="Times New Roman" w:hAnsi="Times New Roman"/>
          <w:sz w:val="28"/>
          <w:szCs w:val="28"/>
        </w:rPr>
        <w:t>In</w:t>
      </w:r>
      <w:r w:rsidRPr="00447AA7">
        <w:rPr>
          <w:rFonts w:ascii="Times New Roman" w:hAnsi="Times New Roman"/>
          <w:sz w:val="28"/>
          <w:szCs w:val="28"/>
        </w:rPr>
        <w:t xml:space="preserve"> </w:t>
      </w:r>
      <w:proofErr w:type="spellStart"/>
      <w:r w:rsidRPr="00447AA7">
        <w:rPr>
          <w:rFonts w:ascii="Times New Roman" w:hAnsi="Times New Roman"/>
          <w:i/>
          <w:iCs/>
          <w:sz w:val="28"/>
          <w:szCs w:val="28"/>
        </w:rPr>
        <w:t>Marsingill</w:t>
      </w:r>
      <w:proofErr w:type="spellEnd"/>
      <w:r w:rsidRPr="00447AA7">
        <w:rPr>
          <w:rFonts w:ascii="Times New Roman" w:hAnsi="Times New Roman"/>
          <w:i/>
          <w:iCs/>
          <w:sz w:val="28"/>
          <w:szCs w:val="28"/>
        </w:rPr>
        <w:t xml:space="preserve"> v. O’Malley</w:t>
      </w:r>
      <w:r w:rsidRPr="00447AA7">
        <w:rPr>
          <w:rFonts w:ascii="Times New Roman" w:hAnsi="Times New Roman"/>
          <w:sz w:val="28"/>
          <w:szCs w:val="28"/>
        </w:rPr>
        <w:t>, 58 P.3d 495</w:t>
      </w:r>
      <w:r w:rsidR="006313AA" w:rsidRPr="00447AA7">
        <w:rPr>
          <w:rFonts w:ascii="Times New Roman" w:hAnsi="Times New Roman"/>
          <w:sz w:val="28"/>
          <w:szCs w:val="28"/>
        </w:rPr>
        <w:t>, 503</w:t>
      </w:r>
      <w:r w:rsidRPr="00447AA7">
        <w:rPr>
          <w:rFonts w:ascii="Times New Roman" w:hAnsi="Times New Roman"/>
          <w:sz w:val="28"/>
          <w:szCs w:val="28"/>
        </w:rPr>
        <w:t xml:space="preserve"> (Alaska 2002)</w:t>
      </w:r>
      <w:r w:rsidR="006313AA" w:rsidRPr="00447AA7">
        <w:rPr>
          <w:rFonts w:ascii="Times New Roman" w:hAnsi="Times New Roman"/>
          <w:sz w:val="28"/>
          <w:szCs w:val="28"/>
        </w:rPr>
        <w:t>, the Alaska Supreme Court adopted the modern “reasonable patient” view that measures the scope of the disclosure from the standpoint of the reasonable patient, instead of expert testimony concerning the professional standard of disclosure.</w:t>
      </w:r>
    </w:p>
    <w:p w14:paraId="4E1C49D5" w14:textId="77777777" w:rsidR="0025517E" w:rsidRPr="00447AA7" w:rsidRDefault="0025517E">
      <w:pPr>
        <w:jc w:val="both"/>
        <w:rPr>
          <w:rFonts w:ascii="Times New Roman" w:hAnsi="Times New Roman"/>
          <w:sz w:val="28"/>
          <w:szCs w:val="28"/>
        </w:rPr>
      </w:pPr>
    </w:p>
    <w:p w14:paraId="2E495682" w14:textId="77777777" w:rsidR="0025517E" w:rsidRPr="00447AA7" w:rsidRDefault="0025517E">
      <w:pPr>
        <w:jc w:val="both"/>
        <w:rPr>
          <w:rFonts w:ascii="Times New Roman" w:hAnsi="Times New Roman"/>
          <w:sz w:val="28"/>
          <w:szCs w:val="28"/>
        </w:rPr>
      </w:pPr>
      <w:r w:rsidRPr="00447AA7">
        <w:rPr>
          <w:rFonts w:ascii="Times New Roman" w:hAnsi="Times New Roman"/>
          <w:sz w:val="28"/>
          <w:szCs w:val="28"/>
        </w:rPr>
        <w:t xml:space="preserve">Two cases decided before the enactment of AS 09.55.556 illustrate the application of consent law in Alaska.  </w:t>
      </w:r>
      <w:r w:rsidRPr="00447AA7">
        <w:rPr>
          <w:rFonts w:ascii="Times New Roman" w:hAnsi="Times New Roman"/>
          <w:i/>
          <w:iCs/>
          <w:sz w:val="28"/>
          <w:szCs w:val="28"/>
        </w:rPr>
        <w:t xml:space="preserve">See Poulin v. </w:t>
      </w:r>
      <w:proofErr w:type="spellStart"/>
      <w:r w:rsidRPr="00447AA7">
        <w:rPr>
          <w:rFonts w:ascii="Times New Roman" w:hAnsi="Times New Roman"/>
          <w:i/>
          <w:iCs/>
          <w:sz w:val="28"/>
          <w:szCs w:val="28"/>
        </w:rPr>
        <w:t>Zartman</w:t>
      </w:r>
      <w:proofErr w:type="spellEnd"/>
      <w:r w:rsidRPr="00447AA7">
        <w:rPr>
          <w:rFonts w:ascii="Times New Roman" w:hAnsi="Times New Roman"/>
          <w:sz w:val="28"/>
          <w:szCs w:val="28"/>
        </w:rPr>
        <w:t xml:space="preserve">, 542 P.2d 251, 275 (Alaska 1975) </w:t>
      </w:r>
      <w:r w:rsidRPr="00447AA7">
        <w:rPr>
          <w:rFonts w:ascii="Times New Roman" w:hAnsi="Times New Roman"/>
          <w:sz w:val="28"/>
          <w:szCs w:val="28"/>
        </w:rPr>
        <w:lastRenderedPageBreak/>
        <w:t xml:space="preserve">(insufficient evidence to support finding that, had plaintiff known of an alternative procedure, he would have declined the procedure which was employed); </w:t>
      </w:r>
      <w:r w:rsidRPr="00447AA7">
        <w:rPr>
          <w:rFonts w:ascii="Times New Roman" w:hAnsi="Times New Roman"/>
          <w:i/>
          <w:iCs/>
          <w:sz w:val="28"/>
          <w:szCs w:val="28"/>
        </w:rPr>
        <w:t xml:space="preserve">Patrick v. </w:t>
      </w:r>
      <w:proofErr w:type="spellStart"/>
      <w:r w:rsidRPr="00447AA7">
        <w:rPr>
          <w:rFonts w:ascii="Times New Roman" w:hAnsi="Times New Roman"/>
          <w:i/>
          <w:iCs/>
          <w:sz w:val="28"/>
          <w:szCs w:val="28"/>
        </w:rPr>
        <w:t>Sedwick</w:t>
      </w:r>
      <w:proofErr w:type="spellEnd"/>
      <w:r w:rsidRPr="00447AA7">
        <w:rPr>
          <w:rFonts w:ascii="Times New Roman" w:hAnsi="Times New Roman"/>
          <w:sz w:val="28"/>
          <w:szCs w:val="28"/>
        </w:rPr>
        <w:t xml:space="preserve">, 391 P.2d 453, 458 (Alaska 1964) (no evidence that plaintiff would have declined the operation if defendant had informed her of risk involved); </w:t>
      </w:r>
      <w:r w:rsidRPr="00447AA7">
        <w:rPr>
          <w:rFonts w:ascii="Times New Roman" w:hAnsi="Times New Roman"/>
          <w:i/>
          <w:iCs/>
          <w:sz w:val="28"/>
          <w:szCs w:val="28"/>
        </w:rPr>
        <w:t>see also</w:t>
      </w:r>
      <w:r w:rsidRPr="00447AA7">
        <w:rPr>
          <w:rFonts w:ascii="Times New Roman" w:hAnsi="Times New Roman"/>
          <w:sz w:val="28"/>
          <w:szCs w:val="28"/>
        </w:rPr>
        <w:t xml:space="preserve"> 38 ALR 4</w:t>
      </w:r>
      <w:r w:rsidRPr="00447AA7">
        <w:rPr>
          <w:rFonts w:ascii="Times New Roman" w:hAnsi="Times New Roman"/>
          <w:sz w:val="28"/>
          <w:szCs w:val="28"/>
          <w:vertAlign w:val="superscript"/>
        </w:rPr>
        <w:t>th</w:t>
      </w:r>
      <w:r w:rsidRPr="00447AA7">
        <w:rPr>
          <w:rFonts w:ascii="Times New Roman" w:hAnsi="Times New Roman"/>
          <w:sz w:val="28"/>
          <w:szCs w:val="28"/>
        </w:rPr>
        <w:t xml:space="preserve"> 900, </w:t>
      </w:r>
      <w:r w:rsidRPr="00447AA7">
        <w:rPr>
          <w:rFonts w:ascii="Times New Roman" w:hAnsi="Times New Roman"/>
          <w:sz w:val="28"/>
          <w:szCs w:val="28"/>
          <w:u w:val="single"/>
        </w:rPr>
        <w:t>Medical Malpractice: Liability for Failure of Physician to Inform Patient of Alternative Modes of Diagnosis or Treatment</w:t>
      </w:r>
      <w:r w:rsidRPr="00447AA7">
        <w:rPr>
          <w:rFonts w:ascii="Times New Roman" w:hAnsi="Times New Roman"/>
          <w:sz w:val="28"/>
          <w:szCs w:val="28"/>
        </w:rPr>
        <w:t xml:space="preserve">.  </w:t>
      </w:r>
    </w:p>
    <w:p w14:paraId="4E8882CE" w14:textId="77777777" w:rsidR="0025517E" w:rsidRPr="00447AA7" w:rsidRDefault="0025517E">
      <w:pPr>
        <w:spacing w:line="360" w:lineRule="auto"/>
        <w:jc w:val="both"/>
        <w:rPr>
          <w:rFonts w:ascii="Times New Roman" w:hAnsi="Times New Roman"/>
          <w:sz w:val="28"/>
          <w:szCs w:val="28"/>
        </w:rPr>
      </w:pPr>
    </w:p>
    <w:sectPr w:rsidR="0025517E" w:rsidRPr="00447A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6012" w14:textId="77777777" w:rsidR="00990ED4" w:rsidRDefault="00990ED4">
      <w:r>
        <w:separator/>
      </w:r>
    </w:p>
  </w:endnote>
  <w:endnote w:type="continuationSeparator" w:id="0">
    <w:p w14:paraId="7903153E" w14:textId="77777777" w:rsidR="00990ED4" w:rsidRDefault="0099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A169" w14:textId="77777777" w:rsidR="001164DF" w:rsidRDefault="00116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9F02" w14:textId="2EE4F014" w:rsidR="0025517E" w:rsidRPr="00447AA7" w:rsidRDefault="00447AA7">
    <w:pPr>
      <w:pStyle w:val="Footer"/>
      <w:rPr>
        <w:rFonts w:ascii="Times New Roman" w:hAnsi="Times New Roman"/>
        <w:sz w:val="22"/>
        <w:szCs w:val="22"/>
      </w:rPr>
    </w:pPr>
    <w:r w:rsidRPr="00447AA7">
      <w:rPr>
        <w:rFonts w:ascii="Times New Roman" w:hAnsi="Times New Roman"/>
        <w:sz w:val="22"/>
        <w:szCs w:val="22"/>
      </w:rPr>
      <w:t xml:space="preserve">Revised </w:t>
    </w:r>
    <w:r w:rsidRPr="00447AA7">
      <w:rPr>
        <w:rFonts w:ascii="Times New Roman" w:hAnsi="Times New Roman"/>
        <w:sz w:val="22"/>
        <w:szCs w:val="22"/>
      </w:rPr>
      <w:t>202</w:t>
    </w:r>
    <w:r w:rsidR="001164DF">
      <w:rPr>
        <w:rFonts w:ascii="Times New Roman" w:hAnsi="Times New Roman"/>
        <w:sz w:val="22"/>
        <w:szCs w:val="22"/>
      </w:rPr>
      <w:t>6</w:t>
    </w:r>
    <w:r w:rsidRPr="00447AA7">
      <w:rPr>
        <w:rFonts w:ascii="Times New Roman" w:hAnsi="Times New Roman"/>
        <w:sz w:val="22"/>
        <w:szCs w:val="22"/>
      </w:rPr>
      <w:ptab w:relativeTo="margin" w:alignment="center" w:leader="none"/>
    </w:r>
    <w:r w:rsidRPr="00447AA7">
      <w:rPr>
        <w:rFonts w:ascii="Times New Roman" w:hAnsi="Times New Roman"/>
        <w:sz w:val="22"/>
        <w:szCs w:val="22"/>
      </w:rPr>
      <w:t>8.03C</w:t>
    </w:r>
    <w:r w:rsidRPr="00447AA7">
      <w:rPr>
        <w:rFonts w:ascii="Times New Roman" w:hAnsi="Times New Roman"/>
        <w:sz w:val="22"/>
        <w:szCs w:val="22"/>
      </w:rPr>
      <w:ptab w:relativeTo="margin" w:alignment="right" w:leader="none"/>
    </w:r>
    <w:r w:rsidRPr="00447AA7">
      <w:rPr>
        <w:rFonts w:ascii="Times New Roman" w:hAnsi="Times New Roman"/>
        <w:sz w:val="22"/>
        <w:szCs w:val="22"/>
      </w:rPr>
      <w:fldChar w:fldCharType="begin"/>
    </w:r>
    <w:r w:rsidRPr="00447AA7">
      <w:rPr>
        <w:rFonts w:ascii="Times New Roman" w:hAnsi="Times New Roman"/>
        <w:sz w:val="22"/>
        <w:szCs w:val="22"/>
      </w:rPr>
      <w:instrText xml:space="preserve"> PAGE   \* MERGEFORMAT </w:instrText>
    </w:r>
    <w:r w:rsidRPr="00447AA7">
      <w:rPr>
        <w:rFonts w:ascii="Times New Roman" w:hAnsi="Times New Roman"/>
        <w:sz w:val="22"/>
        <w:szCs w:val="22"/>
      </w:rPr>
      <w:fldChar w:fldCharType="separate"/>
    </w:r>
    <w:r w:rsidRPr="00447AA7">
      <w:rPr>
        <w:rFonts w:ascii="Times New Roman" w:hAnsi="Times New Roman"/>
        <w:noProof/>
        <w:sz w:val="22"/>
        <w:szCs w:val="22"/>
      </w:rPr>
      <w:t>1</w:t>
    </w:r>
    <w:r w:rsidRPr="00447AA7">
      <w:rPr>
        <w:rFonts w:ascii="Times New Roman" w:hAnsi="Times New Roman"/>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5540" w14:textId="77777777" w:rsidR="001164DF" w:rsidRDefault="0011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DAAA" w14:textId="77777777" w:rsidR="00990ED4" w:rsidRDefault="00990ED4">
      <w:r>
        <w:separator/>
      </w:r>
    </w:p>
  </w:footnote>
  <w:footnote w:type="continuationSeparator" w:id="0">
    <w:p w14:paraId="328B389B" w14:textId="77777777" w:rsidR="00990ED4" w:rsidRDefault="0099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4956" w14:textId="77777777" w:rsidR="001164DF" w:rsidRDefault="00116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C8AF" w14:textId="1EDB5307" w:rsidR="0025517E" w:rsidRDefault="0025517E">
    <w:pPr>
      <w:pStyle w:val="Header"/>
      <w:jc w:val="right"/>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6295" w14:textId="77777777" w:rsidR="001164DF" w:rsidRDefault="001164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41"/>
    <w:rsid w:val="000252C9"/>
    <w:rsid w:val="00031E4D"/>
    <w:rsid w:val="00060998"/>
    <w:rsid w:val="0007316D"/>
    <w:rsid w:val="000B2568"/>
    <w:rsid w:val="000E0378"/>
    <w:rsid w:val="000E3C65"/>
    <w:rsid w:val="00100C99"/>
    <w:rsid w:val="00111E3E"/>
    <w:rsid w:val="001164DF"/>
    <w:rsid w:val="001226A1"/>
    <w:rsid w:val="001319F4"/>
    <w:rsid w:val="001408D6"/>
    <w:rsid w:val="00142B8D"/>
    <w:rsid w:val="00151BBC"/>
    <w:rsid w:val="001521C3"/>
    <w:rsid w:val="00155957"/>
    <w:rsid w:val="001E35D2"/>
    <w:rsid w:val="00201910"/>
    <w:rsid w:val="0025517E"/>
    <w:rsid w:val="00287E2D"/>
    <w:rsid w:val="002C1B83"/>
    <w:rsid w:val="002E3A8C"/>
    <w:rsid w:val="00301746"/>
    <w:rsid w:val="00302370"/>
    <w:rsid w:val="00307104"/>
    <w:rsid w:val="00331C21"/>
    <w:rsid w:val="0033447C"/>
    <w:rsid w:val="00336CD0"/>
    <w:rsid w:val="00343C01"/>
    <w:rsid w:val="00357C93"/>
    <w:rsid w:val="00367BB1"/>
    <w:rsid w:val="0038076E"/>
    <w:rsid w:val="00383F38"/>
    <w:rsid w:val="00395474"/>
    <w:rsid w:val="003D013F"/>
    <w:rsid w:val="003F5177"/>
    <w:rsid w:val="00427E2D"/>
    <w:rsid w:val="00435415"/>
    <w:rsid w:val="00447AA7"/>
    <w:rsid w:val="004861CA"/>
    <w:rsid w:val="004A0037"/>
    <w:rsid w:val="004B355A"/>
    <w:rsid w:val="004B5138"/>
    <w:rsid w:val="0051304D"/>
    <w:rsid w:val="005224ED"/>
    <w:rsid w:val="00523D8E"/>
    <w:rsid w:val="005321F7"/>
    <w:rsid w:val="00541F1C"/>
    <w:rsid w:val="00561D82"/>
    <w:rsid w:val="0057181F"/>
    <w:rsid w:val="005B5F7D"/>
    <w:rsid w:val="005B67D7"/>
    <w:rsid w:val="005C16E4"/>
    <w:rsid w:val="005F08EF"/>
    <w:rsid w:val="006313AA"/>
    <w:rsid w:val="006463CB"/>
    <w:rsid w:val="006476CE"/>
    <w:rsid w:val="00665B63"/>
    <w:rsid w:val="00666EB1"/>
    <w:rsid w:val="006F0B01"/>
    <w:rsid w:val="00704C53"/>
    <w:rsid w:val="0071333E"/>
    <w:rsid w:val="00745C41"/>
    <w:rsid w:val="00755440"/>
    <w:rsid w:val="007920F9"/>
    <w:rsid w:val="007B1EAC"/>
    <w:rsid w:val="007E2384"/>
    <w:rsid w:val="007F1047"/>
    <w:rsid w:val="0083245B"/>
    <w:rsid w:val="00896EFE"/>
    <w:rsid w:val="008B2605"/>
    <w:rsid w:val="008B3319"/>
    <w:rsid w:val="008B7A03"/>
    <w:rsid w:val="00923D2F"/>
    <w:rsid w:val="009378EB"/>
    <w:rsid w:val="00940674"/>
    <w:rsid w:val="00990ED4"/>
    <w:rsid w:val="009A34CD"/>
    <w:rsid w:val="009E0EEA"/>
    <w:rsid w:val="009F576C"/>
    <w:rsid w:val="00A4054D"/>
    <w:rsid w:val="00AA5C80"/>
    <w:rsid w:val="00AE10AB"/>
    <w:rsid w:val="00AE4CAC"/>
    <w:rsid w:val="00AF0800"/>
    <w:rsid w:val="00AF7D21"/>
    <w:rsid w:val="00B564C6"/>
    <w:rsid w:val="00BC18B3"/>
    <w:rsid w:val="00BE6B60"/>
    <w:rsid w:val="00BF6E6E"/>
    <w:rsid w:val="00C2009A"/>
    <w:rsid w:val="00C5312F"/>
    <w:rsid w:val="00C6642C"/>
    <w:rsid w:val="00CA533C"/>
    <w:rsid w:val="00CD3E72"/>
    <w:rsid w:val="00CE52AB"/>
    <w:rsid w:val="00CE7782"/>
    <w:rsid w:val="00D00721"/>
    <w:rsid w:val="00D17012"/>
    <w:rsid w:val="00D43087"/>
    <w:rsid w:val="00D45616"/>
    <w:rsid w:val="00D474E2"/>
    <w:rsid w:val="00DA56AC"/>
    <w:rsid w:val="00E00A7E"/>
    <w:rsid w:val="00E047E5"/>
    <w:rsid w:val="00E07A7B"/>
    <w:rsid w:val="00E173B5"/>
    <w:rsid w:val="00E53E03"/>
    <w:rsid w:val="00E73996"/>
    <w:rsid w:val="00E73A18"/>
    <w:rsid w:val="00E81CA1"/>
    <w:rsid w:val="00EC2A02"/>
    <w:rsid w:val="00EE16C2"/>
    <w:rsid w:val="00F05E6E"/>
    <w:rsid w:val="00F13893"/>
    <w:rsid w:val="00F419AA"/>
    <w:rsid w:val="00F74E09"/>
    <w:rsid w:val="00FB0AEF"/>
    <w:rsid w:val="00FB3AB6"/>
    <w:rsid w:val="00FB7C05"/>
    <w:rsid w:val="00FD0401"/>
    <w:rsid w:val="00FD585F"/>
    <w:rsid w:val="00FD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4ED41"/>
  <w15:docId w15:val="{24FBB42E-CF24-4197-A57D-7B795698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480" w:lineRule="auto"/>
      <w:jc w:val="center"/>
      <w:outlineLvl w:val="0"/>
    </w:pPr>
    <w:rPr>
      <w:rFonts w:ascii="Bookman Old Style" w:hAnsi="Bookman Old Style"/>
      <w:b/>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spacing w:line="480" w:lineRule="auto"/>
      <w:ind w:left="720" w:hanging="720"/>
    </w:pPr>
    <w:rPr>
      <w:rFonts w:ascii="Times New Roman" w:hAnsi="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both"/>
    </w:pPr>
    <w:rPr>
      <w:rFonts w:ascii="Times New Roman" w:hAnsi="Times New Roman"/>
    </w:rPr>
  </w:style>
  <w:style w:type="paragraph" w:styleId="BlockText">
    <w:name w:val="Block Text"/>
    <w:basedOn w:val="Normal"/>
    <w:pPr>
      <w:ind w:left="1440" w:right="1440"/>
      <w:jc w:val="both"/>
    </w:pPr>
    <w:rPr>
      <w:rFonts w:ascii="Times New Roman" w:hAnsi="Times New Roman"/>
    </w:rPr>
  </w:style>
  <w:style w:type="paragraph" w:styleId="BodyText2">
    <w:name w:val="Body Text 2"/>
    <w:basedOn w:val="Normal"/>
    <w:pPr>
      <w:spacing w:line="360" w:lineRule="auto"/>
      <w:jc w:val="both"/>
    </w:pPr>
    <w:rPr>
      <w:rFonts w:ascii="Times New Roman" w:hAnsi="Times New Roman"/>
      <w:i/>
    </w:rPr>
  </w:style>
  <w:style w:type="paragraph" w:styleId="BodyText3">
    <w:name w:val="Body Text 3"/>
    <w:basedOn w:val="Normal"/>
    <w:pPr>
      <w:jc w:val="both"/>
    </w:pPr>
    <w:rPr>
      <w:rFonts w:ascii="Bookman Old Style" w:hAnsi="Bookman Old Style"/>
      <w:sz w:val="26"/>
    </w:rPr>
  </w:style>
  <w:style w:type="paragraph" w:styleId="Revision">
    <w:name w:val="Revision"/>
    <w:hidden/>
    <w:uiPriority w:val="99"/>
    <w:semiHidden/>
    <w:rsid w:val="00665B63"/>
    <w:rPr>
      <w:rFonts w:ascii="Arial" w:hAnsi="Arial"/>
      <w:sz w:val="24"/>
    </w:rPr>
  </w:style>
  <w:style w:type="character" w:styleId="CommentReference">
    <w:name w:val="annotation reference"/>
    <w:basedOn w:val="DefaultParagraphFont"/>
    <w:uiPriority w:val="99"/>
    <w:semiHidden/>
    <w:unhideWhenUsed/>
    <w:rsid w:val="00302370"/>
    <w:rPr>
      <w:sz w:val="16"/>
      <w:szCs w:val="16"/>
    </w:rPr>
  </w:style>
  <w:style w:type="paragraph" w:styleId="CommentText">
    <w:name w:val="annotation text"/>
    <w:basedOn w:val="Normal"/>
    <w:link w:val="CommentTextChar"/>
    <w:uiPriority w:val="99"/>
    <w:unhideWhenUsed/>
    <w:rsid w:val="00302370"/>
    <w:rPr>
      <w:sz w:val="20"/>
    </w:rPr>
  </w:style>
  <w:style w:type="character" w:customStyle="1" w:styleId="CommentTextChar">
    <w:name w:val="Comment Text Char"/>
    <w:basedOn w:val="DefaultParagraphFont"/>
    <w:link w:val="CommentText"/>
    <w:uiPriority w:val="99"/>
    <w:rsid w:val="00302370"/>
    <w:rPr>
      <w:rFonts w:ascii="Arial" w:hAnsi="Arial"/>
    </w:rPr>
  </w:style>
  <w:style w:type="paragraph" w:styleId="CommentSubject">
    <w:name w:val="annotation subject"/>
    <w:basedOn w:val="CommentText"/>
    <w:next w:val="CommentText"/>
    <w:link w:val="CommentSubjectChar"/>
    <w:uiPriority w:val="99"/>
    <w:semiHidden/>
    <w:unhideWhenUsed/>
    <w:rsid w:val="00302370"/>
    <w:rPr>
      <w:b/>
      <w:bCs/>
    </w:rPr>
  </w:style>
  <w:style w:type="character" w:customStyle="1" w:styleId="CommentSubjectChar">
    <w:name w:val="Comment Subject Char"/>
    <w:basedOn w:val="CommentTextChar"/>
    <w:link w:val="CommentSubject"/>
    <w:uiPriority w:val="99"/>
    <w:semiHidden/>
    <w:rsid w:val="0030237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00190">
      <w:bodyDiv w:val="1"/>
      <w:marLeft w:val="0"/>
      <w:marRight w:val="0"/>
      <w:marTop w:val="0"/>
      <w:marBottom w:val="0"/>
      <w:divBdr>
        <w:top w:val="none" w:sz="0" w:space="0" w:color="auto"/>
        <w:left w:val="none" w:sz="0" w:space="0" w:color="auto"/>
        <w:bottom w:val="none" w:sz="0" w:space="0" w:color="auto"/>
        <w:right w:val="none" w:sz="0" w:space="0" w:color="auto"/>
      </w:divBdr>
      <w:divsChild>
        <w:div w:id="807019501">
          <w:marLeft w:val="0"/>
          <w:marRight w:val="0"/>
          <w:marTop w:val="0"/>
          <w:marBottom w:val="0"/>
          <w:divBdr>
            <w:top w:val="none" w:sz="0" w:space="0" w:color="auto"/>
            <w:left w:val="none" w:sz="0" w:space="0" w:color="auto"/>
            <w:bottom w:val="none" w:sz="0" w:space="0" w:color="auto"/>
            <w:right w:val="none" w:sz="0" w:space="0" w:color="auto"/>
          </w:divBdr>
          <w:divsChild>
            <w:div w:id="212154640">
              <w:marLeft w:val="0"/>
              <w:marRight w:val="0"/>
              <w:marTop w:val="0"/>
              <w:marBottom w:val="0"/>
              <w:divBdr>
                <w:top w:val="none" w:sz="0" w:space="0" w:color="auto"/>
                <w:left w:val="none" w:sz="0" w:space="0" w:color="auto"/>
                <w:bottom w:val="none" w:sz="0" w:space="0" w:color="auto"/>
                <w:right w:val="none" w:sz="0" w:space="0" w:color="auto"/>
              </w:divBdr>
              <w:divsChild>
                <w:div w:id="17038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E570-A8AC-45C8-98F2-A367540D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law requires a health care provider to obtain informed consent before performing a treatment or procedure</vt:lpstr>
    </vt:vector>
  </TitlesOfParts>
  <Company>Alaska Court System</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requires a health care provider to obtain informed consent before performing a treatment or procedure</dc:title>
  <dc:subject/>
  <dc:creator>cjohnson</dc:creator>
  <cp:keywords/>
  <dc:description/>
  <cp:lastModifiedBy>Hanley Robinson</cp:lastModifiedBy>
  <cp:revision>3</cp:revision>
  <cp:lastPrinted>2002-08-07T00:26:00Z</cp:lastPrinted>
  <dcterms:created xsi:type="dcterms:W3CDTF">2026-03-20T21:21:00Z</dcterms:created>
  <dcterms:modified xsi:type="dcterms:W3CDTF">2026-05-21T19:59:00Z</dcterms:modified>
</cp:coreProperties>
</file>