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3509" w:rsidRDefault="00843509">
      <w:pPr>
        <w:pStyle w:val="BodyTextIndent"/>
      </w:pPr>
      <w:bookmarkStart w:id="0" w:name="_GoBack"/>
      <w:bookmarkEnd w:id="0"/>
      <w:r>
        <w:t>8.05</w:t>
      </w:r>
      <w:r>
        <w:tab/>
        <w:t>HEALTH CARE PROVIDER MALPRACTICE – MATERIAL RISK DEFINED</w:t>
      </w:r>
    </w:p>
    <w:p w:rsidR="00843509" w:rsidRDefault="00843509">
      <w:pPr>
        <w:spacing w:line="360" w:lineRule="auto"/>
        <w:rPr>
          <w:rFonts w:ascii="Bookman Old Style" w:hAnsi="Bookman Old Style"/>
          <w:sz w:val="26"/>
        </w:rPr>
      </w:pPr>
    </w:p>
    <w:p w:rsidR="00843509" w:rsidRDefault="00843509">
      <w:pPr>
        <w:pStyle w:val="BodyText"/>
        <w:rPr>
          <w:rFonts w:ascii="Bookman Old Style" w:hAnsi="Bookman Old Style"/>
          <w:sz w:val="26"/>
        </w:rPr>
      </w:pPr>
      <w:r>
        <w:rPr>
          <w:rFonts w:ascii="Bookman Old Style" w:hAnsi="Bookman Old Style"/>
          <w:sz w:val="26"/>
        </w:rPr>
        <w:t xml:space="preserve">You have heard expert testimony on the existence, nature, and likelihood of the risk that the plaintiff contends the defendant failed to disclose. You must now determine whether that risk was material. A risk is material if a reasonable person in the patient’s position would have attached significance to the risk in deciding on treatment.  </w:t>
      </w:r>
    </w:p>
    <w:p w:rsidR="00843509" w:rsidRDefault="00843509">
      <w:pPr>
        <w:spacing w:line="360" w:lineRule="auto"/>
        <w:jc w:val="both"/>
        <w:rPr>
          <w:rFonts w:ascii="Bookman Old Style" w:hAnsi="Bookman Old Style"/>
          <w:sz w:val="26"/>
        </w:rPr>
      </w:pPr>
    </w:p>
    <w:p w:rsidR="00843509" w:rsidRDefault="00843509">
      <w:pPr>
        <w:spacing w:line="360" w:lineRule="auto"/>
        <w:jc w:val="both"/>
        <w:rPr>
          <w:rFonts w:ascii="Bookman Old Style" w:hAnsi="Bookman Old Style"/>
          <w:sz w:val="26"/>
        </w:rPr>
      </w:pPr>
      <w:r>
        <w:rPr>
          <w:rFonts w:ascii="Bookman Old Style" w:hAnsi="Bookman Old Style"/>
          <w:sz w:val="26"/>
        </w:rPr>
        <w:t xml:space="preserve">If you determine that the risk was not material, then you must return a verdict for the defendant on this claim. If you determine that the risk was material, then you must determine whether the (insert type of treatment or procedure) was a legal cause of the plaintiff’s harm. </w:t>
      </w:r>
    </w:p>
    <w:p w:rsidR="00843509" w:rsidRDefault="00843509">
      <w:pPr>
        <w:spacing w:line="480" w:lineRule="auto"/>
        <w:rPr>
          <w:rFonts w:ascii="Bookman Old Style" w:hAnsi="Bookman Old Style"/>
          <w:sz w:val="26"/>
        </w:rPr>
      </w:pPr>
    </w:p>
    <w:p w:rsidR="00843509" w:rsidRDefault="00843509">
      <w:pPr>
        <w:pStyle w:val="Heading1"/>
        <w:spacing w:line="240" w:lineRule="auto"/>
        <w:ind w:firstLine="0"/>
        <w:rPr>
          <w:rFonts w:ascii="Bookman Old Style" w:hAnsi="Bookman Old Style"/>
          <w:b/>
          <w:caps/>
          <w:sz w:val="26"/>
          <w:u w:val="none"/>
        </w:rPr>
      </w:pPr>
      <w:r>
        <w:rPr>
          <w:rFonts w:ascii="Bookman Old Style" w:hAnsi="Bookman Old Style"/>
          <w:b/>
          <w:caps/>
          <w:sz w:val="26"/>
          <w:u w:val="none"/>
        </w:rPr>
        <w:t>Use Note</w:t>
      </w:r>
    </w:p>
    <w:p w:rsidR="00843509" w:rsidRDefault="00843509">
      <w:pPr>
        <w:rPr>
          <w:rFonts w:ascii="Bookman Old Style" w:hAnsi="Bookman Old Style"/>
          <w:sz w:val="26"/>
        </w:rPr>
      </w:pPr>
    </w:p>
    <w:p w:rsidR="00843509" w:rsidRDefault="00843509">
      <w:pPr>
        <w:jc w:val="both"/>
        <w:rPr>
          <w:rFonts w:ascii="Bookman Old Style" w:hAnsi="Bookman Old Style"/>
          <w:sz w:val="26"/>
        </w:rPr>
      </w:pPr>
      <w:r>
        <w:rPr>
          <w:rFonts w:ascii="Bookman Old Style" w:hAnsi="Bookman Old Style"/>
          <w:sz w:val="26"/>
        </w:rPr>
        <w:t xml:space="preserve">Expert testimony is required to establish the existence and nature of the risk and the likelihood of its occurrence. </w:t>
      </w:r>
      <w:proofErr w:type="spellStart"/>
      <w:r>
        <w:rPr>
          <w:rFonts w:ascii="Bookman Old Style" w:hAnsi="Bookman Old Style"/>
          <w:sz w:val="26"/>
          <w:u w:val="single"/>
        </w:rPr>
        <w:t>Korman</w:t>
      </w:r>
      <w:proofErr w:type="spellEnd"/>
      <w:r>
        <w:rPr>
          <w:rFonts w:ascii="Bookman Old Style" w:hAnsi="Bookman Old Style"/>
          <w:sz w:val="26"/>
          <w:u w:val="single"/>
        </w:rPr>
        <w:t xml:space="preserve"> v. </w:t>
      </w:r>
      <w:proofErr w:type="spellStart"/>
      <w:r>
        <w:rPr>
          <w:rFonts w:ascii="Bookman Old Style" w:hAnsi="Bookman Old Style"/>
          <w:sz w:val="26"/>
          <w:u w:val="single"/>
        </w:rPr>
        <w:t>Mallin</w:t>
      </w:r>
      <w:proofErr w:type="spellEnd"/>
      <w:r>
        <w:rPr>
          <w:rFonts w:ascii="Bookman Old Style" w:hAnsi="Bookman Old Style"/>
          <w:sz w:val="26"/>
        </w:rPr>
        <w:t xml:space="preserve">, 858 P.2d 1145, 1149 (Alaska 1993). </w:t>
      </w:r>
    </w:p>
    <w:p w:rsidR="00843509" w:rsidRDefault="00843509">
      <w:pPr>
        <w:jc w:val="center"/>
        <w:rPr>
          <w:rFonts w:ascii="Bookman Old Style" w:hAnsi="Bookman Old Style"/>
          <w:sz w:val="26"/>
        </w:rPr>
      </w:pPr>
    </w:p>
    <w:p w:rsidR="00843509" w:rsidRDefault="00843509">
      <w:pPr>
        <w:pStyle w:val="Heading2"/>
        <w:rPr>
          <w:rFonts w:ascii="Bookman Old Style" w:hAnsi="Bookman Old Style"/>
          <w:sz w:val="26"/>
        </w:rPr>
      </w:pPr>
      <w:r>
        <w:rPr>
          <w:rFonts w:ascii="Bookman Old Style" w:hAnsi="Bookman Old Style"/>
          <w:sz w:val="26"/>
        </w:rPr>
        <w:t>Comment</w:t>
      </w:r>
    </w:p>
    <w:p w:rsidR="00843509" w:rsidRDefault="00843509">
      <w:pPr>
        <w:jc w:val="center"/>
        <w:rPr>
          <w:rFonts w:ascii="Bookman Old Style" w:hAnsi="Bookman Old Style"/>
          <w:sz w:val="26"/>
        </w:rPr>
      </w:pPr>
    </w:p>
    <w:p w:rsidR="00843509" w:rsidRDefault="00843509">
      <w:pPr>
        <w:jc w:val="both"/>
        <w:rPr>
          <w:rFonts w:ascii="Bookman Old Style" w:hAnsi="Bookman Old Style"/>
          <w:sz w:val="26"/>
        </w:rPr>
      </w:pPr>
      <w:r>
        <w:rPr>
          <w:rFonts w:ascii="Bookman Old Style" w:hAnsi="Bookman Old Style"/>
          <w:sz w:val="26"/>
        </w:rPr>
        <w:t xml:space="preserve">This instruction is based on </w:t>
      </w:r>
      <w:proofErr w:type="spellStart"/>
      <w:r>
        <w:rPr>
          <w:rFonts w:ascii="Bookman Old Style" w:hAnsi="Bookman Old Style"/>
          <w:sz w:val="26"/>
          <w:u w:val="single"/>
        </w:rPr>
        <w:t>Korman</w:t>
      </w:r>
      <w:proofErr w:type="spellEnd"/>
      <w:r>
        <w:rPr>
          <w:rFonts w:ascii="Bookman Old Style" w:hAnsi="Bookman Old Style"/>
          <w:sz w:val="26"/>
          <w:u w:val="single"/>
        </w:rPr>
        <w:t xml:space="preserve"> v. </w:t>
      </w:r>
      <w:proofErr w:type="spellStart"/>
      <w:r>
        <w:rPr>
          <w:rFonts w:ascii="Bookman Old Style" w:hAnsi="Bookman Old Style"/>
          <w:sz w:val="26"/>
          <w:u w:val="single"/>
        </w:rPr>
        <w:t>Mallin</w:t>
      </w:r>
      <w:proofErr w:type="spellEnd"/>
      <w:r>
        <w:rPr>
          <w:rFonts w:ascii="Bookman Old Style" w:hAnsi="Bookman Old Style"/>
          <w:sz w:val="26"/>
        </w:rPr>
        <w:t xml:space="preserve">, 858 P.2d at 1149, which sets out a two-step process for determining materiality. The first step is establishment of the existence, nature, and likelihood of the risk through expert testimony. The second step is a determination by the </w:t>
      </w:r>
      <w:proofErr w:type="spellStart"/>
      <w:r>
        <w:rPr>
          <w:rFonts w:ascii="Bookman Old Style" w:hAnsi="Bookman Old Style"/>
          <w:sz w:val="26"/>
        </w:rPr>
        <w:t>trier</w:t>
      </w:r>
      <w:proofErr w:type="spellEnd"/>
      <w:r>
        <w:rPr>
          <w:rFonts w:ascii="Bookman Old Style" w:hAnsi="Bookman Old Style"/>
          <w:sz w:val="26"/>
        </w:rPr>
        <w:t xml:space="preserve"> of fact  as to whether the risk would have been significant to a reasonable person in the patient’s position in deciding on treatment.  This second step does not require expert testimony.</w:t>
      </w:r>
    </w:p>
    <w:p w:rsidR="00843509" w:rsidRDefault="00843509">
      <w:pPr>
        <w:ind w:firstLine="720"/>
        <w:rPr>
          <w:rFonts w:ascii="Bookman Old Style" w:hAnsi="Bookman Old Style"/>
          <w:sz w:val="26"/>
        </w:rPr>
      </w:pPr>
    </w:p>
    <w:sectPr w:rsidR="00843509">
      <w:headerReference w:type="default" r:id="rId8"/>
      <w:footerReference w:type="default" r:id="rId9"/>
      <w:endnotePr>
        <w:numFmt w:val="decimal"/>
      </w:endnotePr>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112B">
      <w:r>
        <w:separator/>
      </w:r>
    </w:p>
  </w:endnote>
  <w:endnote w:type="continuationSeparator" w:id="0">
    <w:p w:rsidR="00000000" w:rsidRDefault="00BC1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509" w:rsidRDefault="00843509">
    <w:pPr>
      <w:pStyle w:val="Footer"/>
    </w:pPr>
  </w:p>
  <w:p w:rsidR="00843509" w:rsidRDefault="00843509">
    <w:pPr>
      <w:pStyle w:val="Footer"/>
      <w:rPr>
        <w:rFonts w:ascii="Bookman Old Style" w:hAnsi="Bookman Old Style"/>
      </w:rPr>
    </w:pPr>
    <w:r>
      <w:rPr>
        <w:rFonts w:ascii="Bookman Old Style" w:hAnsi="Bookman Old Style"/>
      </w:rPr>
      <w:t>ADDED 2002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112B">
      <w:r>
        <w:separator/>
      </w:r>
    </w:p>
  </w:footnote>
  <w:footnote w:type="continuationSeparator" w:id="0">
    <w:p w:rsidR="00000000" w:rsidRDefault="00BC1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3509" w:rsidRDefault="00843509">
    <w:pPr>
      <w:pStyle w:val="Header"/>
      <w:jc w:val="right"/>
      <w:rPr>
        <w:rFonts w:ascii="Bookman Old Style" w:hAnsi="Bookman Old Style"/>
      </w:rPr>
    </w:pPr>
    <w:r>
      <w:rPr>
        <w:rFonts w:ascii="Bookman Old Style" w:hAnsi="Bookman Old Style"/>
      </w:rPr>
      <w:t>8.05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Letter"/>
      <w:pStyle w:val="Level1"/>
      <w:lvlText w:val="%1."/>
      <w:lvlJc w:val="left"/>
      <w:pPr>
        <w:tabs>
          <w:tab w:val="num" w:pos="720"/>
        </w:tabs>
        <w:ind w:left="720" w:hanging="72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nsid w:val="00000002"/>
    <w:multiLevelType w:val="multilevel"/>
    <w:tmpl w:val="00000000"/>
    <w:lvl w:ilvl="0">
      <w:start w:val="1"/>
      <w:numFmt w:val="decimal"/>
      <w:pStyle w:val="Level1"/>
      <w:lvlText w:val="%1)"/>
      <w:lvlJc w:val="left"/>
      <w:pPr>
        <w:tabs>
          <w:tab w:val="num" w:pos="2160"/>
        </w:tabs>
        <w:ind w:left="216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nsid w:val="00000003"/>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4"/>
      <w:lvl w:ilvl="0">
        <w:start w:val="4"/>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9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6B"/>
    <w:rsid w:val="00037949"/>
    <w:rsid w:val="00843509"/>
    <w:rsid w:val="00BC112B"/>
    <w:rsid w:val="00CD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480" w:lineRule="auto"/>
      <w:ind w:firstLine="720"/>
      <w:jc w:val="center"/>
      <w:outlineLvl w:val="0"/>
    </w:pPr>
    <w:rPr>
      <w:u w:val="single"/>
    </w:rPr>
  </w:style>
  <w:style w:type="paragraph" w:styleId="Heading2">
    <w:name w:val="heading 2"/>
    <w:basedOn w:val="Normal"/>
    <w:next w:val="Normal"/>
    <w:qFormat/>
    <w:pPr>
      <w:keepNext/>
      <w:jc w:val="center"/>
      <w:outlineLvl w:val="1"/>
    </w:pPr>
    <w:rPr>
      <w:b/>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2"/>
      </w:numPr>
      <w:ind w:left="2160" w:hanging="720"/>
      <w:outlineLvl w:val="0"/>
    </w:pPr>
  </w:style>
  <w:style w:type="paragraph" w:styleId="BodyText">
    <w:name w:val="Body Text"/>
    <w:basedOn w:val="Normal"/>
    <w:pPr>
      <w:spacing w:line="360" w:lineRule="auto"/>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hanging="720"/>
      <w:jc w:val="both"/>
    </w:pPr>
    <w:rPr>
      <w:rFonts w:ascii="Bookman Old Style" w:hAnsi="Bookman Old Style"/>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spacing w:line="480" w:lineRule="auto"/>
      <w:ind w:firstLine="720"/>
      <w:jc w:val="center"/>
      <w:outlineLvl w:val="0"/>
    </w:pPr>
    <w:rPr>
      <w:u w:val="single"/>
    </w:rPr>
  </w:style>
  <w:style w:type="paragraph" w:styleId="Heading2">
    <w:name w:val="heading 2"/>
    <w:basedOn w:val="Normal"/>
    <w:next w:val="Normal"/>
    <w:qFormat/>
    <w:pPr>
      <w:keepNext/>
      <w:jc w:val="center"/>
      <w:outlineLvl w:val="1"/>
    </w:pPr>
    <w:rPr>
      <w:b/>
      <w:cap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2"/>
      </w:numPr>
      <w:ind w:left="2160" w:hanging="720"/>
      <w:outlineLvl w:val="0"/>
    </w:pPr>
  </w:style>
  <w:style w:type="paragraph" w:styleId="BodyText">
    <w:name w:val="Body Text"/>
    <w:basedOn w:val="Normal"/>
    <w:pPr>
      <w:spacing w:line="360" w:lineRule="auto"/>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20" w:hanging="720"/>
      <w:jc w:val="both"/>
    </w:pPr>
    <w:rPr>
      <w:rFonts w:ascii="Bookman Old Style" w:hAnsi="Bookman Old Style"/>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ARTICLE 8</vt:lpstr>
    </vt:vector>
  </TitlesOfParts>
  <Company>Alaska Court System</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8</dc:title>
  <dc:subject/>
  <dc:creator>Christine Johnson</dc:creator>
  <cp:keywords/>
  <cp:lastModifiedBy>Michael Merrington</cp:lastModifiedBy>
  <cp:revision>3</cp:revision>
  <dcterms:created xsi:type="dcterms:W3CDTF">2017-04-04T18:49:00Z</dcterms:created>
  <dcterms:modified xsi:type="dcterms:W3CDTF">2017-04-04T18:49:00Z</dcterms:modified>
</cp:coreProperties>
</file>