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6890" w14:textId="24DA9664" w:rsidR="00807D36" w:rsidRPr="00103932" w:rsidRDefault="00807D36" w:rsidP="00807D36">
      <w:pPr>
        <w:ind w:left="720" w:hanging="720"/>
        <w:jc w:val="both"/>
        <w:rPr>
          <w:b/>
          <w:bCs/>
          <w:sz w:val="28"/>
          <w:szCs w:val="28"/>
        </w:rPr>
      </w:pPr>
      <w:r w:rsidRPr="00103932">
        <w:rPr>
          <w:b/>
          <w:bCs/>
          <w:sz w:val="28"/>
          <w:szCs w:val="28"/>
        </w:rPr>
        <w:t>8.</w:t>
      </w:r>
      <w:r w:rsidR="00AF45E6" w:rsidRPr="00103932">
        <w:rPr>
          <w:b/>
          <w:bCs/>
          <w:sz w:val="28"/>
          <w:szCs w:val="28"/>
        </w:rPr>
        <w:t>09</w:t>
      </w:r>
      <w:r w:rsidRPr="00103932">
        <w:rPr>
          <w:b/>
          <w:bCs/>
          <w:sz w:val="28"/>
          <w:szCs w:val="28"/>
        </w:rPr>
        <w:tab/>
        <w:t>HEALTH CARE PROVIDER MALPRACTICE – RECKLESSNESS DEFINED</w:t>
      </w:r>
    </w:p>
    <w:p w14:paraId="672D4297" w14:textId="77777777" w:rsidR="00807D36" w:rsidRPr="00103932" w:rsidRDefault="00807D36" w:rsidP="00807D36">
      <w:pPr>
        <w:rPr>
          <w:sz w:val="28"/>
          <w:szCs w:val="28"/>
        </w:rPr>
      </w:pPr>
    </w:p>
    <w:p w14:paraId="4E6080C2" w14:textId="77777777" w:rsidR="00807D36" w:rsidRPr="00103932" w:rsidRDefault="00807D36" w:rsidP="00807D36">
      <w:pPr>
        <w:rPr>
          <w:sz w:val="28"/>
          <w:szCs w:val="28"/>
        </w:rPr>
      </w:pPr>
    </w:p>
    <w:p w14:paraId="5132D8A7" w14:textId="1EA2CA39" w:rsidR="00D778E7" w:rsidRPr="00103932" w:rsidRDefault="002D19DD" w:rsidP="008238FA">
      <w:pPr>
        <w:spacing w:line="480" w:lineRule="auto"/>
        <w:jc w:val="both"/>
        <w:rPr>
          <w:sz w:val="28"/>
          <w:szCs w:val="28"/>
        </w:rPr>
      </w:pPr>
      <w:r w:rsidRPr="00103932">
        <w:rPr>
          <w:sz w:val="28"/>
          <w:szCs w:val="28"/>
        </w:rPr>
        <w:t xml:space="preserve">The Plaintiff also claims the Defendant was reckless.  </w:t>
      </w:r>
      <w:r w:rsidR="00807D36" w:rsidRPr="00103932">
        <w:rPr>
          <w:sz w:val="28"/>
          <w:szCs w:val="28"/>
        </w:rPr>
        <w:t>I will now define recklessness for you.</w:t>
      </w:r>
      <w:r w:rsidR="007A6401" w:rsidRPr="00103932">
        <w:rPr>
          <w:sz w:val="28"/>
          <w:szCs w:val="28"/>
        </w:rPr>
        <w:t xml:space="preserve"> </w:t>
      </w:r>
      <w:r w:rsidR="00CF5614" w:rsidRPr="00103932">
        <w:rPr>
          <w:sz w:val="28"/>
          <w:szCs w:val="28"/>
        </w:rPr>
        <w:t xml:space="preserve"> </w:t>
      </w:r>
      <w:r w:rsidR="00D40271" w:rsidRPr="00103932">
        <w:rPr>
          <w:sz w:val="28"/>
          <w:szCs w:val="28"/>
        </w:rPr>
        <w:t>Recklessness by a health care provider means unreasonably disregarding an easily perceptible danger of death or substantial physical harm to a patient.</w:t>
      </w:r>
      <w:r w:rsidR="00FE6F33" w:rsidRPr="00103932">
        <w:rPr>
          <w:sz w:val="28"/>
          <w:szCs w:val="28"/>
        </w:rPr>
        <w:t xml:space="preserve">  </w:t>
      </w:r>
      <w:r w:rsidR="008A2A4E" w:rsidRPr="00103932">
        <w:rPr>
          <w:sz w:val="28"/>
          <w:szCs w:val="28"/>
        </w:rPr>
        <w:t>A</w:t>
      </w:r>
      <w:r w:rsidR="003D2214" w:rsidRPr="00103932">
        <w:rPr>
          <w:sz w:val="28"/>
          <w:szCs w:val="28"/>
        </w:rPr>
        <w:t xml:space="preserve"> </w:t>
      </w:r>
      <w:r w:rsidR="00321A49" w:rsidRPr="00103932">
        <w:rPr>
          <w:sz w:val="28"/>
          <w:szCs w:val="28"/>
        </w:rPr>
        <w:t>health care provider</w:t>
      </w:r>
      <w:r w:rsidR="008A2A4E" w:rsidRPr="00103932">
        <w:rPr>
          <w:sz w:val="28"/>
          <w:szCs w:val="28"/>
        </w:rPr>
        <w:t xml:space="preserve"> [facility] is reckless when </w:t>
      </w:r>
      <w:r w:rsidR="001F7EA5" w:rsidRPr="00103932">
        <w:rPr>
          <w:sz w:val="28"/>
          <w:szCs w:val="28"/>
        </w:rPr>
        <w:t>[</w:t>
      </w:r>
      <w:r w:rsidR="008A2A4E" w:rsidRPr="00103932">
        <w:rPr>
          <w:sz w:val="28"/>
          <w:szCs w:val="28"/>
        </w:rPr>
        <w:t>he/she</w:t>
      </w:r>
      <w:r w:rsidR="001F7EA5" w:rsidRPr="00103932">
        <w:rPr>
          <w:sz w:val="28"/>
          <w:szCs w:val="28"/>
        </w:rPr>
        <w:t>/it]</w:t>
      </w:r>
      <w:r w:rsidR="003D2214" w:rsidRPr="00103932">
        <w:rPr>
          <w:sz w:val="28"/>
          <w:szCs w:val="28"/>
        </w:rPr>
        <w:t xml:space="preserve"> knows or has reason to know </w:t>
      </w:r>
      <w:r w:rsidR="00321A49" w:rsidRPr="00103932">
        <w:rPr>
          <w:sz w:val="28"/>
          <w:szCs w:val="28"/>
        </w:rPr>
        <w:t xml:space="preserve">of facts that </w:t>
      </w:r>
      <w:r w:rsidR="008F7354" w:rsidRPr="00103932">
        <w:rPr>
          <w:sz w:val="28"/>
          <w:szCs w:val="28"/>
        </w:rPr>
        <w:t xml:space="preserve">create a high degree of risk of </w:t>
      </w:r>
      <w:r w:rsidR="00A10C1F" w:rsidRPr="00103932">
        <w:rPr>
          <w:sz w:val="28"/>
          <w:szCs w:val="28"/>
        </w:rPr>
        <w:t xml:space="preserve">serious </w:t>
      </w:r>
      <w:r w:rsidR="008F7354" w:rsidRPr="00103932">
        <w:rPr>
          <w:sz w:val="28"/>
          <w:szCs w:val="28"/>
        </w:rPr>
        <w:t>physical harm to</w:t>
      </w:r>
      <w:r w:rsidR="004055EE" w:rsidRPr="00103932">
        <w:rPr>
          <w:sz w:val="28"/>
          <w:szCs w:val="28"/>
        </w:rPr>
        <w:t xml:space="preserve"> the</w:t>
      </w:r>
      <w:r w:rsidR="008F7354" w:rsidRPr="00103932">
        <w:rPr>
          <w:sz w:val="28"/>
          <w:szCs w:val="28"/>
        </w:rPr>
        <w:t xml:space="preserve"> patient</w:t>
      </w:r>
      <w:r w:rsidR="00A10C1F" w:rsidRPr="00103932">
        <w:rPr>
          <w:sz w:val="28"/>
          <w:szCs w:val="28"/>
        </w:rPr>
        <w:t xml:space="preserve"> [</w:t>
      </w:r>
      <w:r w:rsidR="008F7354" w:rsidRPr="00103932">
        <w:rPr>
          <w:sz w:val="28"/>
          <w:szCs w:val="28"/>
        </w:rPr>
        <w:t xml:space="preserve">but deliberately </w:t>
      </w:r>
      <w:r w:rsidR="00D458FE" w:rsidRPr="00103932">
        <w:rPr>
          <w:sz w:val="28"/>
          <w:szCs w:val="28"/>
        </w:rPr>
        <w:t>act</w:t>
      </w:r>
      <w:r w:rsidR="00A10C1F" w:rsidRPr="00103932">
        <w:rPr>
          <w:sz w:val="28"/>
          <w:szCs w:val="28"/>
        </w:rPr>
        <w:t>s</w:t>
      </w:r>
      <w:r w:rsidR="00D458FE" w:rsidRPr="00103932">
        <w:rPr>
          <w:sz w:val="28"/>
          <w:szCs w:val="28"/>
        </w:rPr>
        <w:t xml:space="preserve"> or fail</w:t>
      </w:r>
      <w:r w:rsidR="008E2DA4" w:rsidRPr="00103932">
        <w:rPr>
          <w:sz w:val="28"/>
          <w:szCs w:val="28"/>
        </w:rPr>
        <w:t>s</w:t>
      </w:r>
      <w:r w:rsidR="00D458FE" w:rsidRPr="00103932">
        <w:rPr>
          <w:sz w:val="28"/>
          <w:szCs w:val="28"/>
        </w:rPr>
        <w:t xml:space="preserve"> to act, </w:t>
      </w:r>
      <w:r w:rsidR="001F7EA5" w:rsidRPr="00103932">
        <w:rPr>
          <w:sz w:val="28"/>
          <w:szCs w:val="28"/>
        </w:rPr>
        <w:t>d</w:t>
      </w:r>
      <w:r w:rsidR="00D458FE" w:rsidRPr="00103932">
        <w:rPr>
          <w:sz w:val="28"/>
          <w:szCs w:val="28"/>
        </w:rPr>
        <w:t>isregarding</w:t>
      </w:r>
      <w:r w:rsidR="00914515" w:rsidRPr="00103932">
        <w:rPr>
          <w:sz w:val="28"/>
          <w:szCs w:val="28"/>
        </w:rPr>
        <w:t xml:space="preserve"> that risk</w:t>
      </w:r>
      <w:r w:rsidR="00D458FE" w:rsidRPr="00103932">
        <w:rPr>
          <w:sz w:val="28"/>
          <w:szCs w:val="28"/>
        </w:rPr>
        <w:t xml:space="preserve"> </w:t>
      </w:r>
      <w:r w:rsidR="0096283E" w:rsidRPr="00103932">
        <w:rPr>
          <w:sz w:val="28"/>
          <w:szCs w:val="28"/>
        </w:rPr>
        <w:t xml:space="preserve">or </w:t>
      </w:r>
      <w:r w:rsidR="008F2F49" w:rsidRPr="00103932">
        <w:rPr>
          <w:sz w:val="28"/>
          <w:szCs w:val="28"/>
        </w:rPr>
        <w:t xml:space="preserve">acting </w:t>
      </w:r>
      <w:r w:rsidR="001460F8" w:rsidRPr="00103932">
        <w:rPr>
          <w:sz w:val="28"/>
          <w:szCs w:val="28"/>
        </w:rPr>
        <w:t xml:space="preserve">with </w:t>
      </w:r>
      <w:r w:rsidR="0096283E" w:rsidRPr="00103932">
        <w:rPr>
          <w:sz w:val="28"/>
          <w:szCs w:val="28"/>
        </w:rPr>
        <w:t>indifferen</w:t>
      </w:r>
      <w:r w:rsidR="009513BB" w:rsidRPr="00103932">
        <w:rPr>
          <w:sz w:val="28"/>
          <w:szCs w:val="28"/>
        </w:rPr>
        <w:t xml:space="preserve">ce </w:t>
      </w:r>
      <w:r w:rsidR="0096283E" w:rsidRPr="00103932">
        <w:rPr>
          <w:sz w:val="28"/>
          <w:szCs w:val="28"/>
        </w:rPr>
        <w:t xml:space="preserve">to </w:t>
      </w:r>
      <w:r w:rsidR="00914515" w:rsidRPr="00103932">
        <w:rPr>
          <w:sz w:val="28"/>
          <w:szCs w:val="28"/>
        </w:rPr>
        <w:t>it</w:t>
      </w:r>
      <w:r w:rsidR="00D94015" w:rsidRPr="00103932">
        <w:rPr>
          <w:sz w:val="28"/>
          <w:szCs w:val="28"/>
        </w:rPr>
        <w:t>] [</w:t>
      </w:r>
      <w:r w:rsidR="000D5A67" w:rsidRPr="00103932">
        <w:rPr>
          <w:sz w:val="28"/>
          <w:szCs w:val="28"/>
        </w:rPr>
        <w:t xml:space="preserve">but does not </w:t>
      </w:r>
      <w:r w:rsidR="00284115" w:rsidRPr="00103932">
        <w:rPr>
          <w:sz w:val="28"/>
          <w:szCs w:val="28"/>
        </w:rPr>
        <w:t xml:space="preserve">realize or </w:t>
      </w:r>
      <w:r w:rsidR="000D5A67" w:rsidRPr="00103932">
        <w:rPr>
          <w:sz w:val="28"/>
          <w:szCs w:val="28"/>
        </w:rPr>
        <w:t xml:space="preserve">appreciate the high degree of risk involved, although a reasonable health care provider </w:t>
      </w:r>
      <w:r w:rsidR="0057740F" w:rsidRPr="00103932">
        <w:rPr>
          <w:sz w:val="28"/>
          <w:szCs w:val="28"/>
        </w:rPr>
        <w:t>[facility] in [his/her/its] position would</w:t>
      </w:r>
      <w:r w:rsidR="00153863" w:rsidRPr="00103932">
        <w:rPr>
          <w:sz w:val="28"/>
          <w:szCs w:val="28"/>
        </w:rPr>
        <w:t>]</w:t>
      </w:r>
      <w:r w:rsidR="00E66543" w:rsidRPr="00103932">
        <w:rPr>
          <w:sz w:val="28"/>
          <w:szCs w:val="28"/>
        </w:rPr>
        <w:t>.</w:t>
      </w:r>
      <w:r w:rsidR="007E4EC2" w:rsidRPr="00103932">
        <w:rPr>
          <w:sz w:val="28"/>
          <w:szCs w:val="28"/>
        </w:rPr>
        <w:t xml:space="preserve"> </w:t>
      </w:r>
      <w:r w:rsidR="008E2DA4" w:rsidRPr="00103932">
        <w:rPr>
          <w:sz w:val="28"/>
          <w:szCs w:val="28"/>
        </w:rPr>
        <w:t xml:space="preserve"> </w:t>
      </w:r>
      <w:r w:rsidR="00CB524C" w:rsidRPr="00103932">
        <w:rPr>
          <w:sz w:val="28"/>
          <w:szCs w:val="28"/>
        </w:rPr>
        <w:t>Reckless</w:t>
      </w:r>
      <w:r w:rsidR="00ED7937" w:rsidRPr="00103932">
        <w:rPr>
          <w:sz w:val="28"/>
          <w:szCs w:val="28"/>
        </w:rPr>
        <w:t xml:space="preserve">ness </w:t>
      </w:r>
      <w:r w:rsidR="00D40271" w:rsidRPr="00103932">
        <w:rPr>
          <w:sz w:val="28"/>
          <w:szCs w:val="28"/>
        </w:rPr>
        <w:t>requires an unreasonable disregard of a risk of harm substantially in excess of that necessary to make the conduct negligent</w:t>
      </w:r>
      <w:r w:rsidR="0002570F" w:rsidRPr="00103932">
        <w:rPr>
          <w:sz w:val="28"/>
          <w:szCs w:val="28"/>
        </w:rPr>
        <w:t>.</w:t>
      </w:r>
      <w:r w:rsidR="00D318B3" w:rsidRPr="00103932">
        <w:rPr>
          <w:sz w:val="28"/>
          <w:szCs w:val="28"/>
        </w:rPr>
        <w:t xml:space="preserve">  </w:t>
      </w:r>
    </w:p>
    <w:p w14:paraId="3DBCDCE4" w14:textId="77777777" w:rsidR="008238FA" w:rsidRDefault="008238FA" w:rsidP="008238FA">
      <w:pPr>
        <w:spacing w:line="480" w:lineRule="auto"/>
        <w:jc w:val="both"/>
        <w:rPr>
          <w:sz w:val="28"/>
          <w:szCs w:val="28"/>
        </w:rPr>
      </w:pPr>
    </w:p>
    <w:p w14:paraId="66791233" w14:textId="745D6371" w:rsidR="00D40271" w:rsidRPr="00103932" w:rsidRDefault="00D40271" w:rsidP="008238FA">
      <w:pPr>
        <w:spacing w:line="480" w:lineRule="auto"/>
        <w:jc w:val="both"/>
        <w:rPr>
          <w:sz w:val="28"/>
          <w:szCs w:val="28"/>
        </w:rPr>
      </w:pPr>
      <w:r w:rsidRPr="00103932">
        <w:rPr>
          <w:sz w:val="28"/>
          <w:szCs w:val="28"/>
        </w:rPr>
        <w:t>Recklessness is more than mere inadvertence, incompetence, unskillfulness, or a failure to take precautions to enable the actor to adequately cope with a possible or probable future emergency.</w:t>
      </w:r>
    </w:p>
    <w:p w14:paraId="467BB1D8" w14:textId="77777777" w:rsidR="00D40271" w:rsidRPr="00103932" w:rsidRDefault="00D40271" w:rsidP="008E2DA4">
      <w:pPr>
        <w:spacing w:line="480" w:lineRule="auto"/>
        <w:ind w:firstLine="720"/>
        <w:jc w:val="both"/>
        <w:rPr>
          <w:sz w:val="28"/>
          <w:szCs w:val="28"/>
        </w:rPr>
      </w:pPr>
    </w:p>
    <w:p w14:paraId="523A2761" w14:textId="0389DACA" w:rsidR="004C4DB3" w:rsidRPr="00C050AD" w:rsidRDefault="00C050AD" w:rsidP="008E2DA4">
      <w:pPr>
        <w:spacing w:line="480" w:lineRule="auto"/>
        <w:jc w:val="center"/>
        <w:rPr>
          <w:b/>
          <w:bCs/>
          <w:sz w:val="28"/>
          <w:szCs w:val="28"/>
          <w:u w:val="single"/>
        </w:rPr>
      </w:pPr>
      <w:r w:rsidRPr="00C050AD">
        <w:rPr>
          <w:b/>
          <w:bCs/>
          <w:sz w:val="28"/>
          <w:szCs w:val="28"/>
          <w:u w:val="single"/>
        </w:rPr>
        <w:t>Use Note</w:t>
      </w:r>
    </w:p>
    <w:p w14:paraId="0511D856" w14:textId="506A8D28" w:rsidR="004C4DB3" w:rsidRPr="00103932" w:rsidRDefault="004C4DB3" w:rsidP="008E2DA4">
      <w:pPr>
        <w:jc w:val="both"/>
        <w:rPr>
          <w:rStyle w:val="Hyperlink"/>
          <w:color w:val="auto"/>
          <w:sz w:val="28"/>
          <w:szCs w:val="28"/>
          <w:u w:val="none"/>
          <w:bdr w:val="none" w:sz="0" w:space="0" w:color="auto" w:frame="1"/>
          <w:shd w:val="clear" w:color="auto" w:fill="FFFFFF"/>
        </w:rPr>
      </w:pPr>
      <w:r w:rsidRPr="00103932">
        <w:rPr>
          <w:sz w:val="28"/>
          <w:szCs w:val="28"/>
        </w:rPr>
        <w:t>This in</w:t>
      </w:r>
      <w:r w:rsidR="00034D70" w:rsidRPr="00103932">
        <w:rPr>
          <w:sz w:val="28"/>
          <w:szCs w:val="28"/>
        </w:rPr>
        <w:t xml:space="preserve">struction should be </w:t>
      </w:r>
      <w:r w:rsidR="001B3459" w:rsidRPr="00103932">
        <w:rPr>
          <w:sz w:val="28"/>
          <w:szCs w:val="28"/>
        </w:rPr>
        <w:t xml:space="preserve">given if the plaintiff </w:t>
      </w:r>
      <w:r w:rsidR="00C04AC5" w:rsidRPr="00103932">
        <w:rPr>
          <w:sz w:val="28"/>
          <w:szCs w:val="28"/>
        </w:rPr>
        <w:t xml:space="preserve">has alleged reckless conduct </w:t>
      </w:r>
      <w:r w:rsidR="00977DDB" w:rsidRPr="00103932">
        <w:rPr>
          <w:sz w:val="28"/>
          <w:szCs w:val="28"/>
        </w:rPr>
        <w:t xml:space="preserve">under the exception to </w:t>
      </w:r>
      <w:r w:rsidR="00E022E0" w:rsidRPr="00103932">
        <w:rPr>
          <w:sz w:val="28"/>
          <w:szCs w:val="28"/>
        </w:rPr>
        <w:t xml:space="preserve">the </w:t>
      </w:r>
      <w:r w:rsidR="00977DDB" w:rsidRPr="00103932">
        <w:rPr>
          <w:sz w:val="28"/>
          <w:szCs w:val="28"/>
        </w:rPr>
        <w:t xml:space="preserve">non-economic limits in AS 09.55.549(f). </w:t>
      </w:r>
      <w:r w:rsidR="00C04AC5" w:rsidRPr="00103932">
        <w:rPr>
          <w:sz w:val="28"/>
          <w:szCs w:val="28"/>
        </w:rPr>
        <w:t xml:space="preserve"> </w:t>
      </w:r>
      <w:r w:rsidR="00CD6866" w:rsidRPr="00103932">
        <w:rPr>
          <w:sz w:val="28"/>
          <w:szCs w:val="28"/>
        </w:rPr>
        <w:t xml:space="preserve">The </w:t>
      </w:r>
      <w:r w:rsidR="005D4457" w:rsidRPr="00103932">
        <w:rPr>
          <w:sz w:val="28"/>
          <w:szCs w:val="28"/>
        </w:rPr>
        <w:t>alternative bracketed language should be used depending on the facts alleged</w:t>
      </w:r>
      <w:r w:rsidR="000E4395" w:rsidRPr="00103932">
        <w:rPr>
          <w:rStyle w:val="Hyperlink"/>
          <w:color w:val="auto"/>
          <w:sz w:val="28"/>
          <w:szCs w:val="28"/>
          <w:u w:val="none"/>
          <w:bdr w:val="none" w:sz="0" w:space="0" w:color="auto" w:frame="1"/>
          <w:shd w:val="clear" w:color="auto" w:fill="FFFFFF"/>
        </w:rPr>
        <w:t>.</w:t>
      </w:r>
    </w:p>
    <w:p w14:paraId="61395CBF" w14:textId="41825448" w:rsidR="008E2DA4" w:rsidRDefault="008E2DA4" w:rsidP="008E2DA4">
      <w:pPr>
        <w:spacing w:line="480" w:lineRule="auto"/>
        <w:jc w:val="center"/>
        <w:rPr>
          <w:rStyle w:val="Hyperlink"/>
          <w:b/>
          <w:bCs/>
          <w:color w:val="auto"/>
          <w:sz w:val="28"/>
          <w:szCs w:val="28"/>
          <w:u w:val="none"/>
          <w:bdr w:val="none" w:sz="0" w:space="0" w:color="auto" w:frame="1"/>
          <w:shd w:val="clear" w:color="auto" w:fill="FFFFFF"/>
        </w:rPr>
      </w:pPr>
    </w:p>
    <w:p w14:paraId="71A70FDC" w14:textId="55D71EEC" w:rsidR="00BD41FB" w:rsidRPr="00C050AD" w:rsidRDefault="00C050AD" w:rsidP="008E2DA4">
      <w:pPr>
        <w:spacing w:line="480" w:lineRule="auto"/>
        <w:jc w:val="center"/>
        <w:rPr>
          <w:rStyle w:val="Hyperlink"/>
          <w:b/>
          <w:bCs/>
          <w:color w:val="auto"/>
          <w:sz w:val="28"/>
          <w:szCs w:val="28"/>
          <w:bdr w:val="none" w:sz="0" w:space="0" w:color="auto" w:frame="1"/>
          <w:shd w:val="clear" w:color="auto" w:fill="FFFFFF"/>
        </w:rPr>
      </w:pPr>
      <w:r w:rsidRPr="00C050AD">
        <w:rPr>
          <w:rStyle w:val="Hyperlink"/>
          <w:b/>
          <w:bCs/>
          <w:color w:val="auto"/>
          <w:sz w:val="28"/>
          <w:szCs w:val="28"/>
          <w:bdr w:val="none" w:sz="0" w:space="0" w:color="auto" w:frame="1"/>
          <w:shd w:val="clear" w:color="auto" w:fill="FFFFFF"/>
        </w:rPr>
        <w:lastRenderedPageBreak/>
        <w:t>Comment</w:t>
      </w:r>
    </w:p>
    <w:p w14:paraId="25F3763B" w14:textId="5F5A9A5B" w:rsidR="005C0E67" w:rsidRPr="00103932" w:rsidRDefault="0018532F" w:rsidP="00524632">
      <w:pPr>
        <w:pStyle w:val="BodyTextIndent2"/>
        <w:spacing w:after="0" w:line="240" w:lineRule="auto"/>
        <w:ind w:left="0"/>
        <w:jc w:val="both"/>
        <w:rPr>
          <w:sz w:val="28"/>
          <w:szCs w:val="28"/>
        </w:rPr>
      </w:pPr>
      <w:r w:rsidRPr="00103932">
        <w:rPr>
          <w:sz w:val="28"/>
          <w:szCs w:val="28"/>
        </w:rPr>
        <w:t>AS 09.55.549(f) creates an exception to the non-economic damages limits in medi</w:t>
      </w:r>
      <w:r w:rsidR="008E2DA4" w:rsidRPr="00103932">
        <w:rPr>
          <w:sz w:val="28"/>
          <w:szCs w:val="28"/>
        </w:rPr>
        <w:t>c</w:t>
      </w:r>
      <w:r w:rsidRPr="00103932">
        <w:rPr>
          <w:sz w:val="28"/>
          <w:szCs w:val="28"/>
        </w:rPr>
        <w:t>al malpractice cases</w:t>
      </w:r>
      <w:r w:rsidR="00103932">
        <w:rPr>
          <w:sz w:val="28"/>
          <w:szCs w:val="28"/>
        </w:rPr>
        <w:t>,</w:t>
      </w:r>
      <w:r w:rsidR="004847B6" w:rsidRPr="00103932">
        <w:rPr>
          <w:sz w:val="28"/>
          <w:szCs w:val="28"/>
        </w:rPr>
        <w:t xml:space="preserve"> </w:t>
      </w:r>
      <w:r w:rsidR="00422DFC" w:rsidRPr="00103932">
        <w:rPr>
          <w:sz w:val="28"/>
          <w:szCs w:val="28"/>
        </w:rPr>
        <w:t>explaining</w:t>
      </w:r>
      <w:r w:rsidR="00103932">
        <w:rPr>
          <w:sz w:val="28"/>
          <w:szCs w:val="28"/>
        </w:rPr>
        <w:t>:</w:t>
      </w:r>
      <w:r w:rsidR="00422DFC" w:rsidRPr="00103932">
        <w:rPr>
          <w:sz w:val="28"/>
          <w:szCs w:val="28"/>
        </w:rPr>
        <w:t xml:space="preserve"> </w:t>
      </w:r>
      <w:r w:rsidR="00A27EE8" w:rsidRPr="00103932">
        <w:rPr>
          <w:sz w:val="28"/>
          <w:szCs w:val="28"/>
        </w:rPr>
        <w:t>“</w:t>
      </w:r>
      <w:r w:rsidR="008E2DA4" w:rsidRPr="00103932">
        <w:rPr>
          <w:color w:val="000000"/>
          <w:sz w:val="28"/>
          <w:szCs w:val="28"/>
        </w:rPr>
        <w:t>[t]</w:t>
      </w:r>
      <w:r w:rsidR="00A27EE8" w:rsidRPr="00103932">
        <w:rPr>
          <w:color w:val="000000"/>
          <w:sz w:val="28"/>
          <w:szCs w:val="28"/>
        </w:rPr>
        <w:t>he limitation on noneconomic damages in this section does not apply if the damages resulted from an act or omission that constitutes reckless or intentional misconduct.”</w:t>
      </w:r>
      <w:r w:rsidR="000B3382" w:rsidRPr="00103932">
        <w:rPr>
          <w:color w:val="000000"/>
          <w:sz w:val="28"/>
          <w:szCs w:val="28"/>
        </w:rPr>
        <w:t xml:space="preserve">  Th</w:t>
      </w:r>
      <w:r w:rsidR="00AA61AC" w:rsidRPr="00103932">
        <w:rPr>
          <w:color w:val="000000"/>
          <w:sz w:val="28"/>
          <w:szCs w:val="28"/>
        </w:rPr>
        <w:t>e jury should be instructed on the definition of reckless when a plaintiff alleges this conduct</w:t>
      </w:r>
      <w:r w:rsidR="00E06479" w:rsidRPr="00103932">
        <w:rPr>
          <w:color w:val="000000"/>
          <w:sz w:val="28"/>
          <w:szCs w:val="28"/>
        </w:rPr>
        <w:t xml:space="preserve">. </w:t>
      </w:r>
      <w:r w:rsidR="00847ADA" w:rsidRPr="00103932">
        <w:rPr>
          <w:color w:val="000000"/>
          <w:sz w:val="28"/>
          <w:szCs w:val="28"/>
        </w:rPr>
        <w:t xml:space="preserve"> Alaska law has adopted the definition of “reckless” from </w:t>
      </w:r>
      <w:r w:rsidR="00847ADA" w:rsidRPr="00103932">
        <w:rPr>
          <w:bCs/>
          <w:sz w:val="28"/>
          <w:szCs w:val="28"/>
        </w:rPr>
        <w:t xml:space="preserve">Restatement (Second) of Torts </w:t>
      </w:r>
      <w:hyperlink r:id="rId6" w:history="1">
        <w:r w:rsidR="00847ADA" w:rsidRPr="00103932">
          <w:rPr>
            <w:rStyle w:val="Hyperlink"/>
            <w:color w:val="auto"/>
            <w:sz w:val="28"/>
            <w:szCs w:val="28"/>
            <w:u w:val="none"/>
            <w:bdr w:val="none" w:sz="0" w:space="0" w:color="auto" w:frame="1"/>
            <w:shd w:val="clear" w:color="auto" w:fill="FFFFFF"/>
          </w:rPr>
          <w:t>§ 500</w:t>
        </w:r>
      </w:hyperlink>
      <w:r w:rsidR="00E50525" w:rsidRPr="00103932">
        <w:rPr>
          <w:rStyle w:val="Hyperlink"/>
          <w:color w:val="auto"/>
          <w:sz w:val="28"/>
          <w:szCs w:val="28"/>
          <w:u w:val="none"/>
          <w:bdr w:val="none" w:sz="0" w:space="0" w:color="auto" w:frame="1"/>
          <w:shd w:val="clear" w:color="auto" w:fill="FFFFFF"/>
        </w:rPr>
        <w:t xml:space="preserve"> (1965) </w:t>
      </w:r>
      <w:r w:rsidR="00505F43" w:rsidRPr="00103932">
        <w:rPr>
          <w:rStyle w:val="Hyperlink"/>
          <w:color w:val="auto"/>
          <w:sz w:val="28"/>
          <w:szCs w:val="28"/>
          <w:u w:val="none"/>
          <w:bdr w:val="none" w:sz="0" w:space="0" w:color="auto" w:frame="1"/>
          <w:shd w:val="clear" w:color="auto" w:fill="FFFFFF"/>
        </w:rPr>
        <w:t>in several cases</w:t>
      </w:r>
      <w:r w:rsidR="00103932">
        <w:rPr>
          <w:rStyle w:val="Hyperlink"/>
          <w:color w:val="auto"/>
          <w:sz w:val="28"/>
          <w:szCs w:val="28"/>
          <w:u w:val="none"/>
          <w:bdr w:val="none" w:sz="0" w:space="0" w:color="auto" w:frame="1"/>
          <w:shd w:val="clear" w:color="auto" w:fill="FFFFFF"/>
        </w:rPr>
        <w:t>,</w:t>
      </w:r>
      <w:r w:rsidR="00505F43" w:rsidRPr="00103932">
        <w:rPr>
          <w:rStyle w:val="Hyperlink"/>
          <w:color w:val="auto"/>
          <w:sz w:val="28"/>
          <w:szCs w:val="28"/>
          <w:u w:val="none"/>
          <w:bdr w:val="none" w:sz="0" w:space="0" w:color="auto" w:frame="1"/>
          <w:shd w:val="clear" w:color="auto" w:fill="FFFFFF"/>
        </w:rPr>
        <w:t xml:space="preserve"> including</w:t>
      </w:r>
      <w:r w:rsidR="00103932">
        <w:rPr>
          <w:rStyle w:val="Hyperlink"/>
          <w:color w:val="auto"/>
          <w:sz w:val="28"/>
          <w:szCs w:val="28"/>
          <w:u w:val="none"/>
          <w:bdr w:val="none" w:sz="0" w:space="0" w:color="auto" w:frame="1"/>
          <w:shd w:val="clear" w:color="auto" w:fill="FFFFFF"/>
        </w:rPr>
        <w:t>,</w:t>
      </w:r>
      <w:r w:rsidR="00505F43" w:rsidRPr="00103932">
        <w:rPr>
          <w:rStyle w:val="Hyperlink"/>
          <w:color w:val="auto"/>
          <w:sz w:val="28"/>
          <w:szCs w:val="28"/>
          <w:u w:val="none"/>
          <w:bdr w:val="none" w:sz="0" w:space="0" w:color="auto" w:frame="1"/>
          <w:shd w:val="clear" w:color="auto" w:fill="FFFFFF"/>
        </w:rPr>
        <w:t xml:space="preserve"> </w:t>
      </w:r>
      <w:r w:rsidR="007E3BEB" w:rsidRPr="00103932">
        <w:rPr>
          <w:bCs/>
          <w:i/>
          <w:iCs/>
          <w:sz w:val="28"/>
          <w:szCs w:val="28"/>
        </w:rPr>
        <w:t>Storrs v. Lutheran Hosp</w:t>
      </w:r>
      <w:r w:rsidR="008E2DA4" w:rsidRPr="00103932">
        <w:rPr>
          <w:bCs/>
          <w:i/>
          <w:iCs/>
          <w:sz w:val="28"/>
          <w:szCs w:val="28"/>
        </w:rPr>
        <w:t>itals</w:t>
      </w:r>
      <w:r w:rsidR="007E3BEB" w:rsidRPr="00103932">
        <w:rPr>
          <w:bCs/>
          <w:i/>
          <w:iCs/>
          <w:sz w:val="28"/>
          <w:szCs w:val="28"/>
        </w:rPr>
        <w:t xml:space="preserve"> &amp; Homes Soc</w:t>
      </w:r>
      <w:r w:rsidR="008E2DA4" w:rsidRPr="00103932">
        <w:rPr>
          <w:bCs/>
          <w:i/>
          <w:iCs/>
          <w:sz w:val="28"/>
          <w:szCs w:val="28"/>
        </w:rPr>
        <w:t>iety</w:t>
      </w:r>
      <w:r w:rsidR="007E3BEB" w:rsidRPr="00103932">
        <w:rPr>
          <w:bCs/>
          <w:i/>
          <w:iCs/>
          <w:sz w:val="28"/>
          <w:szCs w:val="28"/>
        </w:rPr>
        <w:t xml:space="preserve"> </w:t>
      </w:r>
      <w:r w:rsidR="00323B53" w:rsidRPr="00103932">
        <w:rPr>
          <w:bCs/>
          <w:i/>
          <w:iCs/>
          <w:sz w:val="28"/>
          <w:szCs w:val="28"/>
        </w:rPr>
        <w:t>o</w:t>
      </w:r>
      <w:r w:rsidR="007E3BEB" w:rsidRPr="00103932">
        <w:rPr>
          <w:bCs/>
          <w:i/>
          <w:iCs/>
          <w:sz w:val="28"/>
          <w:szCs w:val="28"/>
        </w:rPr>
        <w:t>f Am</w:t>
      </w:r>
      <w:r w:rsidR="008E2DA4" w:rsidRPr="00103932">
        <w:rPr>
          <w:bCs/>
          <w:i/>
          <w:iCs/>
          <w:sz w:val="28"/>
          <w:szCs w:val="28"/>
        </w:rPr>
        <w:t>erica</w:t>
      </w:r>
      <w:r w:rsidR="007E3BEB" w:rsidRPr="00103932">
        <w:rPr>
          <w:bCs/>
          <w:i/>
          <w:iCs/>
          <w:sz w:val="28"/>
          <w:szCs w:val="28"/>
        </w:rPr>
        <w:t>, Inc.</w:t>
      </w:r>
      <w:r w:rsidR="007E3BEB" w:rsidRPr="00103932">
        <w:rPr>
          <w:bCs/>
          <w:sz w:val="28"/>
          <w:szCs w:val="28"/>
        </w:rPr>
        <w:t>,</w:t>
      </w:r>
      <w:r w:rsidR="00E55BE7" w:rsidRPr="00103932">
        <w:rPr>
          <w:bCs/>
          <w:sz w:val="28"/>
          <w:szCs w:val="28"/>
        </w:rPr>
        <w:t xml:space="preserve"> </w:t>
      </w:r>
      <w:r w:rsidR="005053A0" w:rsidRPr="00103932">
        <w:rPr>
          <w:sz w:val="28"/>
          <w:szCs w:val="28"/>
        </w:rPr>
        <w:t>661 P.2d 632, 634 (Alaska 1983)</w:t>
      </w:r>
      <w:r w:rsidR="008E2DA4" w:rsidRPr="00103932">
        <w:rPr>
          <w:sz w:val="28"/>
          <w:szCs w:val="28"/>
        </w:rPr>
        <w:t>,</w:t>
      </w:r>
      <w:r w:rsidR="00560924" w:rsidRPr="00103932">
        <w:rPr>
          <w:sz w:val="28"/>
          <w:szCs w:val="28"/>
        </w:rPr>
        <w:t xml:space="preserve"> </w:t>
      </w:r>
      <w:r w:rsidR="00560924" w:rsidRPr="00103932">
        <w:rPr>
          <w:i/>
          <w:iCs/>
          <w:sz w:val="28"/>
          <w:szCs w:val="28"/>
        </w:rPr>
        <w:t>Lamb v. Anderson</w:t>
      </w:r>
      <w:r w:rsidR="00560924" w:rsidRPr="00103932">
        <w:rPr>
          <w:sz w:val="28"/>
          <w:szCs w:val="28"/>
        </w:rPr>
        <w:t xml:space="preserve">, </w:t>
      </w:r>
      <w:r w:rsidR="0054109B" w:rsidRPr="00103932">
        <w:rPr>
          <w:sz w:val="28"/>
          <w:szCs w:val="28"/>
        </w:rPr>
        <w:t>147 P.3d 736 (Alaska 2006),</w:t>
      </w:r>
      <w:r w:rsidR="005053A0" w:rsidRPr="00103932">
        <w:rPr>
          <w:sz w:val="28"/>
          <w:szCs w:val="28"/>
        </w:rPr>
        <w:t xml:space="preserve"> and </w:t>
      </w:r>
      <w:r w:rsidR="005F2AC0" w:rsidRPr="00103932">
        <w:rPr>
          <w:i/>
          <w:iCs/>
          <w:sz w:val="28"/>
          <w:szCs w:val="28"/>
          <w:shd w:val="clear" w:color="auto" w:fill="FFFFFF"/>
        </w:rPr>
        <w:t>Jones v. Bowie Industries, Inc.,</w:t>
      </w:r>
      <w:r w:rsidR="005C0E67" w:rsidRPr="00103932">
        <w:rPr>
          <w:sz w:val="28"/>
          <w:szCs w:val="28"/>
        </w:rPr>
        <w:t xml:space="preserve"> 282 P.3d 316, 339-40 (Alaska 2012).</w:t>
      </w:r>
      <w:r w:rsidR="00231C7A" w:rsidRPr="00103932">
        <w:rPr>
          <w:sz w:val="28"/>
          <w:szCs w:val="28"/>
        </w:rPr>
        <w:t xml:space="preserve"> </w:t>
      </w:r>
      <w:r w:rsidR="005008AA" w:rsidRPr="00103932">
        <w:rPr>
          <w:sz w:val="28"/>
          <w:szCs w:val="28"/>
        </w:rPr>
        <w:t xml:space="preserve"> In </w:t>
      </w:r>
      <w:r w:rsidR="005008AA" w:rsidRPr="00103932">
        <w:rPr>
          <w:i/>
          <w:iCs/>
          <w:sz w:val="28"/>
          <w:szCs w:val="28"/>
        </w:rPr>
        <w:t>Lamb</w:t>
      </w:r>
      <w:r w:rsidR="005008AA" w:rsidRPr="00103932">
        <w:rPr>
          <w:sz w:val="28"/>
          <w:szCs w:val="28"/>
        </w:rPr>
        <w:t xml:space="preserve"> and </w:t>
      </w:r>
      <w:r w:rsidR="005008AA" w:rsidRPr="00103932">
        <w:rPr>
          <w:i/>
          <w:iCs/>
          <w:sz w:val="28"/>
          <w:szCs w:val="28"/>
        </w:rPr>
        <w:t>Jones</w:t>
      </w:r>
      <w:r w:rsidR="005008AA" w:rsidRPr="00103932">
        <w:rPr>
          <w:sz w:val="28"/>
          <w:szCs w:val="28"/>
        </w:rPr>
        <w:t>, the court explained that recklessness is unreasonably disregarding a known risk of substantial physical harm to another.</w:t>
      </w:r>
    </w:p>
    <w:p w14:paraId="2056C8C1" w14:textId="77777777" w:rsidR="004E6516" w:rsidRPr="00103932" w:rsidRDefault="004E6516" w:rsidP="005C0E67">
      <w:pPr>
        <w:pStyle w:val="FootnoteText"/>
        <w:rPr>
          <w:sz w:val="28"/>
          <w:szCs w:val="28"/>
        </w:rPr>
      </w:pPr>
    </w:p>
    <w:p w14:paraId="40277799" w14:textId="6ED45F69" w:rsidR="005008AA" w:rsidRPr="00103932" w:rsidRDefault="004E6516" w:rsidP="008E2DA4">
      <w:pPr>
        <w:jc w:val="both"/>
        <w:rPr>
          <w:color w:val="000000"/>
          <w:sz w:val="28"/>
          <w:szCs w:val="28"/>
        </w:rPr>
      </w:pPr>
      <w:r w:rsidRPr="00103932">
        <w:rPr>
          <w:bCs/>
          <w:sz w:val="28"/>
          <w:szCs w:val="28"/>
        </w:rPr>
        <w:t xml:space="preserve">Restatement (Second) of Torts </w:t>
      </w:r>
      <w:hyperlink r:id="rId7" w:history="1">
        <w:r w:rsidRPr="00103932">
          <w:rPr>
            <w:rStyle w:val="Hyperlink"/>
            <w:color w:val="auto"/>
            <w:sz w:val="28"/>
            <w:szCs w:val="28"/>
            <w:u w:val="none"/>
            <w:bdr w:val="none" w:sz="0" w:space="0" w:color="auto" w:frame="1"/>
            <w:shd w:val="clear" w:color="auto" w:fill="FFFFFF"/>
          </w:rPr>
          <w:t>§ 500</w:t>
        </w:r>
      </w:hyperlink>
      <w:r w:rsidRPr="00103932">
        <w:rPr>
          <w:rStyle w:val="Hyperlink"/>
          <w:color w:val="auto"/>
          <w:sz w:val="28"/>
          <w:szCs w:val="28"/>
          <w:u w:val="none"/>
          <w:bdr w:val="none" w:sz="0" w:space="0" w:color="auto" w:frame="1"/>
          <w:shd w:val="clear" w:color="auto" w:fill="FFFFFF"/>
        </w:rPr>
        <w:t xml:space="preserve"> (1965), </w:t>
      </w:r>
      <w:r w:rsidR="008E2DA4" w:rsidRPr="00103932">
        <w:rPr>
          <w:rStyle w:val="Hyperlink"/>
          <w:color w:val="auto"/>
          <w:sz w:val="28"/>
          <w:szCs w:val="28"/>
          <w:u w:val="none"/>
          <w:bdr w:val="none" w:sz="0" w:space="0" w:color="auto" w:frame="1"/>
          <w:shd w:val="clear" w:color="auto" w:fill="FFFFFF"/>
        </w:rPr>
        <w:t>C</w:t>
      </w:r>
      <w:r w:rsidRPr="00103932">
        <w:rPr>
          <w:color w:val="000000"/>
          <w:sz w:val="28"/>
          <w:szCs w:val="28"/>
        </w:rPr>
        <w:t xml:space="preserve">omment (a) </w:t>
      </w:r>
      <w:r w:rsidR="00C035DB" w:rsidRPr="00103932">
        <w:rPr>
          <w:color w:val="000000"/>
          <w:sz w:val="28"/>
          <w:szCs w:val="28"/>
        </w:rPr>
        <w:t>explains</w:t>
      </w:r>
      <w:r w:rsidRPr="00103932">
        <w:rPr>
          <w:color w:val="000000"/>
          <w:sz w:val="28"/>
          <w:szCs w:val="28"/>
        </w:rPr>
        <w:t xml:space="preserve"> there are two different types of conduct </w:t>
      </w:r>
      <w:r w:rsidR="00EC2402" w:rsidRPr="00103932">
        <w:rPr>
          <w:color w:val="000000"/>
          <w:sz w:val="28"/>
          <w:szCs w:val="28"/>
        </w:rPr>
        <w:t>that constitute recklessness</w:t>
      </w:r>
      <w:r w:rsidR="00103932">
        <w:rPr>
          <w:color w:val="000000"/>
          <w:sz w:val="28"/>
          <w:szCs w:val="28"/>
        </w:rPr>
        <w:t>,</w:t>
      </w:r>
      <w:r w:rsidR="00EC2402" w:rsidRPr="00103932">
        <w:rPr>
          <w:color w:val="000000"/>
          <w:sz w:val="28"/>
          <w:szCs w:val="28"/>
        </w:rPr>
        <w:t xml:space="preserve"> </w:t>
      </w:r>
      <w:r w:rsidRPr="00103932">
        <w:rPr>
          <w:color w:val="000000"/>
          <w:sz w:val="28"/>
          <w:szCs w:val="28"/>
        </w:rPr>
        <w:t>noting</w:t>
      </w:r>
      <w:r w:rsidR="00103932">
        <w:rPr>
          <w:color w:val="000000"/>
          <w:sz w:val="28"/>
          <w:szCs w:val="28"/>
        </w:rPr>
        <w:t>,</w:t>
      </w:r>
      <w:r w:rsidRPr="00103932">
        <w:rPr>
          <w:color w:val="000000"/>
          <w:sz w:val="28"/>
          <w:szCs w:val="28"/>
        </w:rPr>
        <w:t xml:space="preserve"> “[r]</w:t>
      </w:r>
      <w:proofErr w:type="spellStart"/>
      <w:r w:rsidRPr="00103932">
        <w:rPr>
          <w:color w:val="000000"/>
          <w:sz w:val="28"/>
          <w:szCs w:val="28"/>
        </w:rPr>
        <w:t>ecklessness</w:t>
      </w:r>
      <w:proofErr w:type="spellEnd"/>
      <w:r w:rsidRPr="00103932">
        <w:rPr>
          <w:color w:val="000000"/>
          <w:sz w:val="28"/>
          <w:szCs w:val="28"/>
        </w:rPr>
        <w:t xml:space="preserve"> may consist of either of two different types of conduct.</w:t>
      </w:r>
      <w:r w:rsidR="008E2DA4" w:rsidRPr="00103932">
        <w:rPr>
          <w:color w:val="000000"/>
          <w:sz w:val="28"/>
          <w:szCs w:val="28"/>
        </w:rPr>
        <w:t xml:space="preserve"> </w:t>
      </w:r>
      <w:r w:rsidRPr="00103932">
        <w:rPr>
          <w:color w:val="000000"/>
          <w:sz w:val="28"/>
          <w:szCs w:val="28"/>
        </w:rPr>
        <w:t xml:space="preserve"> In one the actor knows, or has reason to know, as that term is defined in § 12, of facts which create a high degree of risk of physical harm to another, and deliberately proceeds to act, or to fail to act, in conscious disregard of, or indifference to, that risk. </w:t>
      </w:r>
      <w:r w:rsidR="00D0038E" w:rsidRPr="00103932">
        <w:rPr>
          <w:color w:val="000000"/>
          <w:sz w:val="28"/>
          <w:szCs w:val="28"/>
        </w:rPr>
        <w:t xml:space="preserve"> </w:t>
      </w:r>
      <w:r w:rsidRPr="00103932">
        <w:rPr>
          <w:color w:val="000000"/>
          <w:sz w:val="28"/>
          <w:szCs w:val="28"/>
        </w:rPr>
        <w:t>In the other</w:t>
      </w:r>
      <w:r w:rsidR="00103932">
        <w:rPr>
          <w:color w:val="000000"/>
          <w:sz w:val="28"/>
          <w:szCs w:val="28"/>
        </w:rPr>
        <w:t>,</w:t>
      </w:r>
      <w:r w:rsidRPr="00103932">
        <w:rPr>
          <w:color w:val="000000"/>
          <w:sz w:val="28"/>
          <w:szCs w:val="28"/>
        </w:rPr>
        <w:t xml:space="preserve"> the actor has such knowledge, or reason to know, of the facts, but does not realize or appreciate the high degree of risk involved, although a reasonable man in his position would do so.</w:t>
      </w:r>
      <w:r w:rsidR="00D0038E" w:rsidRPr="00103932">
        <w:rPr>
          <w:color w:val="000000"/>
          <w:sz w:val="28"/>
          <w:szCs w:val="28"/>
        </w:rPr>
        <w:t xml:space="preserve"> </w:t>
      </w:r>
      <w:r w:rsidRPr="00103932">
        <w:rPr>
          <w:color w:val="000000"/>
          <w:sz w:val="28"/>
          <w:szCs w:val="28"/>
        </w:rPr>
        <w:t xml:space="preserve"> An objective standard is applied to him, and he is held to the realization of the aggravated risk which a reasonable man in his place would have, although he does not himself have it.” </w:t>
      </w:r>
      <w:r w:rsidR="00EC2402" w:rsidRPr="00103932">
        <w:rPr>
          <w:color w:val="000000"/>
          <w:sz w:val="28"/>
          <w:szCs w:val="28"/>
        </w:rPr>
        <w:t xml:space="preserve"> The jury should be instructed depending on the type of conduct alleged</w:t>
      </w:r>
      <w:r w:rsidR="00C035DB" w:rsidRPr="00103932">
        <w:rPr>
          <w:color w:val="000000"/>
          <w:sz w:val="28"/>
          <w:szCs w:val="28"/>
        </w:rPr>
        <w:t xml:space="preserve"> as reflected in the two different bracketed language</w:t>
      </w:r>
      <w:r w:rsidR="00103932">
        <w:rPr>
          <w:color w:val="000000"/>
          <w:sz w:val="28"/>
          <w:szCs w:val="28"/>
        </w:rPr>
        <w:t xml:space="preserve"> alternatives</w:t>
      </w:r>
      <w:r w:rsidR="00EC2402" w:rsidRPr="00103932">
        <w:rPr>
          <w:color w:val="000000"/>
          <w:sz w:val="28"/>
          <w:szCs w:val="28"/>
        </w:rPr>
        <w:t xml:space="preserve">. </w:t>
      </w:r>
      <w:r w:rsidR="00EA4025" w:rsidRPr="00103932">
        <w:rPr>
          <w:color w:val="000000"/>
          <w:sz w:val="28"/>
          <w:szCs w:val="28"/>
        </w:rPr>
        <w:t>Comment (a) also describes the degree of unreasonableness required</w:t>
      </w:r>
      <w:r w:rsidR="00103932">
        <w:rPr>
          <w:color w:val="000000"/>
          <w:sz w:val="28"/>
          <w:szCs w:val="28"/>
        </w:rPr>
        <w:t>,</w:t>
      </w:r>
      <w:r w:rsidR="00EA4025" w:rsidRPr="00103932">
        <w:rPr>
          <w:color w:val="000000"/>
          <w:sz w:val="28"/>
          <w:szCs w:val="28"/>
        </w:rPr>
        <w:t xml:space="preserve"> </w:t>
      </w:r>
      <w:r w:rsidR="009C6C3F" w:rsidRPr="00103932">
        <w:rPr>
          <w:color w:val="000000"/>
          <w:sz w:val="28"/>
          <w:szCs w:val="28"/>
        </w:rPr>
        <w:t>explaining it</w:t>
      </w:r>
      <w:r w:rsidR="00EA4025" w:rsidRPr="00103932">
        <w:rPr>
          <w:color w:val="000000"/>
          <w:sz w:val="28"/>
          <w:szCs w:val="28"/>
        </w:rPr>
        <w:t xml:space="preserve"> “must not only be unreasonable, but it must involve a risk of harm to others substantially in excess of that necessary to make the conduct negligent. </w:t>
      </w:r>
      <w:r w:rsidR="00D0038E" w:rsidRPr="00103932">
        <w:rPr>
          <w:color w:val="000000"/>
          <w:sz w:val="28"/>
          <w:szCs w:val="28"/>
        </w:rPr>
        <w:t xml:space="preserve"> </w:t>
      </w:r>
      <w:r w:rsidR="00EA4025" w:rsidRPr="00103932">
        <w:rPr>
          <w:color w:val="000000"/>
          <w:sz w:val="28"/>
          <w:szCs w:val="28"/>
        </w:rPr>
        <w:t xml:space="preserve">It must involve an easily perceptible danger of death or substantial physical harm, and the probability that it will so result must be substantially greater than is required for ordinary negligence.”  </w:t>
      </w:r>
    </w:p>
    <w:p w14:paraId="10C2E351" w14:textId="77777777" w:rsidR="005008AA" w:rsidRPr="00103932" w:rsidRDefault="005008AA" w:rsidP="00EC2402">
      <w:pPr>
        <w:rPr>
          <w:color w:val="000000"/>
          <w:sz w:val="28"/>
          <w:szCs w:val="28"/>
        </w:rPr>
      </w:pPr>
    </w:p>
    <w:p w14:paraId="1BD23181" w14:textId="645D2B57" w:rsidR="00D0038E" w:rsidRPr="00450395" w:rsidRDefault="00054841" w:rsidP="00D0038E">
      <w:pPr>
        <w:jc w:val="both"/>
        <w:rPr>
          <w:color w:val="000000"/>
          <w:sz w:val="28"/>
          <w:szCs w:val="28"/>
        </w:rPr>
      </w:pPr>
      <w:r w:rsidRPr="00103932">
        <w:rPr>
          <w:color w:val="000000"/>
          <w:sz w:val="28"/>
          <w:szCs w:val="28"/>
        </w:rPr>
        <w:t xml:space="preserve">Comment (b) explains that the </w:t>
      </w:r>
      <w:r w:rsidR="006076B9" w:rsidRPr="00103932">
        <w:rPr>
          <w:color w:val="000000"/>
          <w:sz w:val="28"/>
          <w:szCs w:val="28"/>
        </w:rPr>
        <w:t xml:space="preserve">act or omission cannot be reckless unless the actor knows </w:t>
      </w:r>
      <w:r w:rsidR="008C0892" w:rsidRPr="00103932">
        <w:rPr>
          <w:color w:val="000000"/>
          <w:sz w:val="28"/>
          <w:szCs w:val="28"/>
        </w:rPr>
        <w:t xml:space="preserve">“facts which would lead any reasonable man to realize the extreme risk to which it subjects the safety of others.” </w:t>
      </w:r>
      <w:r w:rsidR="00B90757" w:rsidRPr="00103932">
        <w:rPr>
          <w:color w:val="000000"/>
          <w:sz w:val="28"/>
          <w:szCs w:val="28"/>
        </w:rPr>
        <w:t xml:space="preserve"> </w:t>
      </w:r>
      <w:r w:rsidR="00D76BEE" w:rsidRPr="00103932">
        <w:rPr>
          <w:color w:val="000000"/>
          <w:sz w:val="28"/>
          <w:szCs w:val="28"/>
        </w:rPr>
        <w:t>Comment (c) explains that “[i]n order that the actor</w:t>
      </w:r>
      <w:r w:rsidR="00D0038E" w:rsidRPr="00103932">
        <w:rPr>
          <w:color w:val="000000"/>
          <w:sz w:val="28"/>
          <w:szCs w:val="28"/>
        </w:rPr>
        <w:t>’</w:t>
      </w:r>
      <w:r w:rsidR="00D76BEE" w:rsidRPr="00103932">
        <w:rPr>
          <w:color w:val="000000"/>
          <w:sz w:val="28"/>
          <w:szCs w:val="28"/>
        </w:rPr>
        <w:t xml:space="preserve">s conduct may be reckless, it is not necessary that he himself recognize it as being extremely dangerous. </w:t>
      </w:r>
      <w:r w:rsidR="00D0038E" w:rsidRPr="00103932">
        <w:rPr>
          <w:color w:val="000000"/>
          <w:sz w:val="28"/>
          <w:szCs w:val="28"/>
        </w:rPr>
        <w:t xml:space="preserve"> </w:t>
      </w:r>
      <w:r w:rsidR="00D76BEE" w:rsidRPr="00103932">
        <w:rPr>
          <w:color w:val="000000"/>
          <w:sz w:val="28"/>
          <w:szCs w:val="28"/>
        </w:rPr>
        <w:t xml:space="preserve">His inability to realize the danger may be due to his own reckless temperament, or to the abnormally favorable results of previous conduct of the same sort. </w:t>
      </w:r>
      <w:r w:rsidR="00D0038E" w:rsidRPr="00103932">
        <w:rPr>
          <w:color w:val="000000"/>
          <w:sz w:val="28"/>
          <w:szCs w:val="28"/>
        </w:rPr>
        <w:t xml:space="preserve"> </w:t>
      </w:r>
      <w:r w:rsidR="00D76BEE" w:rsidRPr="00103932">
        <w:rPr>
          <w:color w:val="000000"/>
          <w:sz w:val="28"/>
          <w:szCs w:val="28"/>
        </w:rPr>
        <w:t xml:space="preserve">It is enough that he knows or has reason to know of circumstances which would bring home to the realization of the ordinary, reasonable </w:t>
      </w:r>
      <w:r w:rsidR="00D76BEE" w:rsidRPr="00450395">
        <w:rPr>
          <w:color w:val="000000"/>
          <w:sz w:val="28"/>
          <w:szCs w:val="28"/>
        </w:rPr>
        <w:lastRenderedPageBreak/>
        <w:t>man the highly dangerous character of his conduct.”</w:t>
      </w:r>
      <w:r w:rsidR="008A717A" w:rsidRPr="00450395">
        <w:rPr>
          <w:color w:val="000000"/>
          <w:sz w:val="28"/>
          <w:szCs w:val="28"/>
        </w:rPr>
        <w:t xml:space="preserve">  As it applies here, i</w:t>
      </w:r>
      <w:r w:rsidR="00501C3E" w:rsidRPr="00450395">
        <w:rPr>
          <w:color w:val="000000"/>
          <w:sz w:val="28"/>
          <w:szCs w:val="28"/>
        </w:rPr>
        <w:t xml:space="preserve">nstead of the “ordinary, reasonable man,” it </w:t>
      </w:r>
      <w:r w:rsidR="004027EE" w:rsidRPr="00450395">
        <w:rPr>
          <w:color w:val="000000"/>
          <w:sz w:val="28"/>
          <w:szCs w:val="28"/>
        </w:rPr>
        <w:t xml:space="preserve">is </w:t>
      </w:r>
      <w:r w:rsidR="007D3A55" w:rsidRPr="00450395">
        <w:rPr>
          <w:color w:val="000000"/>
          <w:sz w:val="28"/>
          <w:szCs w:val="28"/>
        </w:rPr>
        <w:t xml:space="preserve">a health care provider </w:t>
      </w:r>
      <w:r w:rsidR="00F307B8" w:rsidRPr="00450395">
        <w:rPr>
          <w:color w:val="000000"/>
          <w:sz w:val="28"/>
          <w:szCs w:val="28"/>
        </w:rPr>
        <w:t xml:space="preserve">with the degree of knowledge or skill possessed </w:t>
      </w:r>
      <w:r w:rsidR="00071C1C" w:rsidRPr="00450395">
        <w:rPr>
          <w:color w:val="000000"/>
          <w:sz w:val="28"/>
          <w:szCs w:val="28"/>
        </w:rPr>
        <w:t>or the degree of care ordinarily exercised under the circumstances as defined in Instruction 8.02</w:t>
      </w:r>
      <w:r w:rsidR="00CD4E59" w:rsidRPr="00450395">
        <w:rPr>
          <w:color w:val="000000"/>
          <w:sz w:val="28"/>
          <w:szCs w:val="28"/>
        </w:rPr>
        <w:t>.</w:t>
      </w:r>
    </w:p>
    <w:p w14:paraId="4C132BED" w14:textId="69C1F196" w:rsidR="004E6516" w:rsidRPr="00450395" w:rsidRDefault="004E6516" w:rsidP="00D0038E">
      <w:pPr>
        <w:jc w:val="both"/>
        <w:rPr>
          <w:color w:val="000000"/>
          <w:sz w:val="28"/>
          <w:szCs w:val="28"/>
        </w:rPr>
      </w:pPr>
    </w:p>
    <w:p w14:paraId="56760684" w14:textId="4965E887" w:rsidR="00C20647" w:rsidRPr="00450395" w:rsidRDefault="00C20647" w:rsidP="00D0038E">
      <w:pPr>
        <w:jc w:val="both"/>
        <w:rPr>
          <w:sz w:val="28"/>
          <w:szCs w:val="28"/>
          <w:bdr w:val="none" w:sz="0" w:space="0" w:color="auto" w:frame="1"/>
          <w:shd w:val="clear" w:color="auto" w:fill="FFFFFF"/>
        </w:rPr>
      </w:pPr>
      <w:r w:rsidRPr="00450395">
        <w:rPr>
          <w:bCs/>
          <w:sz w:val="28"/>
          <w:szCs w:val="28"/>
        </w:rPr>
        <w:t xml:space="preserve">Restatement (Second) Torts </w:t>
      </w:r>
      <w:r w:rsidRPr="00450395">
        <w:rPr>
          <w:color w:val="000000"/>
          <w:sz w:val="28"/>
          <w:szCs w:val="28"/>
        </w:rPr>
        <w:t xml:space="preserve">§ 12 (1965) </w:t>
      </w:r>
      <w:r w:rsidR="00624790" w:rsidRPr="00450395">
        <w:rPr>
          <w:color w:val="000000"/>
          <w:sz w:val="28"/>
          <w:szCs w:val="28"/>
        </w:rPr>
        <w:t>explains “reason to know” “[</w:t>
      </w:r>
      <w:r w:rsidRPr="00450395">
        <w:rPr>
          <w:color w:val="000000"/>
          <w:sz w:val="28"/>
          <w:szCs w:val="28"/>
        </w:rPr>
        <w:t>m</w:t>
      </w:r>
      <w:r w:rsidR="00624790" w:rsidRPr="00450395">
        <w:rPr>
          <w:color w:val="000000"/>
          <w:sz w:val="28"/>
          <w:szCs w:val="28"/>
        </w:rPr>
        <w:t>]</w:t>
      </w:r>
      <w:proofErr w:type="spellStart"/>
      <w:r w:rsidRPr="00450395">
        <w:rPr>
          <w:color w:val="000000"/>
          <w:sz w:val="28"/>
          <w:szCs w:val="28"/>
        </w:rPr>
        <w:t>eans</w:t>
      </w:r>
      <w:proofErr w:type="spellEnd"/>
      <w:r w:rsidRPr="00450395">
        <w:rPr>
          <w:color w:val="000000"/>
          <w:sz w:val="28"/>
          <w:szCs w:val="28"/>
        </w:rPr>
        <w:t xml:space="preserve"> that the actor has knowledge of facts from which a reasonable man of ordinary intelligence or one of the superior </w:t>
      </w:r>
      <w:proofErr w:type="gramStart"/>
      <w:r w:rsidR="00772A3B" w:rsidRPr="00450395">
        <w:rPr>
          <w:color w:val="000000"/>
          <w:sz w:val="28"/>
          <w:szCs w:val="28"/>
        </w:rPr>
        <w:t>intelligence</w:t>
      </w:r>
      <w:proofErr w:type="gramEnd"/>
      <w:r w:rsidR="00772A3B" w:rsidRPr="00450395">
        <w:rPr>
          <w:color w:val="000000"/>
          <w:sz w:val="28"/>
          <w:szCs w:val="28"/>
        </w:rPr>
        <w:t xml:space="preserve"> </w:t>
      </w:r>
      <w:r w:rsidRPr="00450395">
        <w:rPr>
          <w:color w:val="000000"/>
          <w:sz w:val="28"/>
          <w:szCs w:val="28"/>
        </w:rPr>
        <w:t>of the actor would either infer the existence of the fact in question or would regard its existence as so highly probable that his conduct would be predicated upon the assumption that the fact did exist.</w:t>
      </w:r>
      <w:r w:rsidR="009B3032" w:rsidRPr="00450395">
        <w:rPr>
          <w:color w:val="000000"/>
          <w:sz w:val="28"/>
          <w:szCs w:val="28"/>
        </w:rPr>
        <w:t>”</w:t>
      </w:r>
    </w:p>
    <w:p w14:paraId="571141B9" w14:textId="77777777" w:rsidR="004E6516" w:rsidRPr="00450395" w:rsidRDefault="004E6516" w:rsidP="005C0E67">
      <w:pPr>
        <w:pStyle w:val="FootnoteText"/>
        <w:rPr>
          <w:sz w:val="28"/>
          <w:szCs w:val="28"/>
        </w:rPr>
      </w:pPr>
    </w:p>
    <w:p w14:paraId="25DA3166" w14:textId="09F4CC75" w:rsidR="00EB4E63" w:rsidRPr="00450395" w:rsidRDefault="00EB4E63" w:rsidP="005C0E67">
      <w:pPr>
        <w:pStyle w:val="FootnoteText"/>
        <w:rPr>
          <w:color w:val="auto"/>
          <w:sz w:val="28"/>
          <w:szCs w:val="28"/>
        </w:rPr>
      </w:pPr>
      <w:r w:rsidRPr="00450395">
        <w:rPr>
          <w:sz w:val="28"/>
          <w:szCs w:val="28"/>
        </w:rPr>
        <w:t>Comment (g) explains the difference between recklessness and negligence</w:t>
      </w:r>
      <w:r w:rsidR="00D86F2E" w:rsidRPr="00450395">
        <w:rPr>
          <w:sz w:val="28"/>
          <w:szCs w:val="28"/>
        </w:rPr>
        <w:t xml:space="preserve">, noting that reckless is different from negligence which consists of “mere inadvertence, incompetence, unskillfulness, or a failure to take precautions to enable the actor to adequately cope with a possible or probable future emergency.”  </w:t>
      </w:r>
      <w:r w:rsidR="008233C2" w:rsidRPr="00450395">
        <w:rPr>
          <w:sz w:val="28"/>
          <w:szCs w:val="28"/>
        </w:rPr>
        <w:t>While recklessness requires</w:t>
      </w:r>
      <w:r w:rsidR="002F7B39" w:rsidRPr="00450395">
        <w:rPr>
          <w:sz w:val="28"/>
          <w:szCs w:val="28"/>
        </w:rPr>
        <w:t xml:space="preserve"> something more</w:t>
      </w:r>
      <w:r w:rsidR="00450395" w:rsidRPr="00450395">
        <w:rPr>
          <w:sz w:val="28"/>
          <w:szCs w:val="28"/>
        </w:rPr>
        <w:t>,</w:t>
      </w:r>
      <w:r w:rsidR="002F7B39" w:rsidRPr="00450395">
        <w:rPr>
          <w:sz w:val="28"/>
          <w:szCs w:val="28"/>
        </w:rPr>
        <w:t xml:space="preserve"> including </w:t>
      </w:r>
      <w:r w:rsidR="008233C2" w:rsidRPr="00450395">
        <w:rPr>
          <w:sz w:val="28"/>
          <w:szCs w:val="28"/>
        </w:rPr>
        <w:t>a choice of action</w:t>
      </w:r>
      <w:r w:rsidR="002F7B39" w:rsidRPr="00450395">
        <w:rPr>
          <w:sz w:val="28"/>
          <w:szCs w:val="28"/>
        </w:rPr>
        <w:t xml:space="preserve"> </w:t>
      </w:r>
      <w:r w:rsidR="008233C2" w:rsidRPr="00450395">
        <w:rPr>
          <w:sz w:val="28"/>
          <w:szCs w:val="28"/>
        </w:rPr>
        <w:t xml:space="preserve">with knowledge of </w:t>
      </w:r>
      <w:r w:rsidR="00F060F0" w:rsidRPr="00450395">
        <w:rPr>
          <w:sz w:val="28"/>
          <w:szCs w:val="28"/>
        </w:rPr>
        <w:t>the serious danger to others involved in it, or with knowledge of facts that would disclose that danger to a reasonable person in the same circumstance.</w:t>
      </w:r>
      <w:r w:rsidR="00ED25E2" w:rsidRPr="00450395">
        <w:rPr>
          <w:sz w:val="28"/>
          <w:szCs w:val="28"/>
        </w:rPr>
        <w:t xml:space="preserve">  </w:t>
      </w:r>
      <w:r w:rsidR="008615B5" w:rsidRPr="00450395">
        <w:rPr>
          <w:sz w:val="28"/>
          <w:szCs w:val="28"/>
        </w:rPr>
        <w:t xml:space="preserve">The comment </w:t>
      </w:r>
      <w:r w:rsidR="008615B5" w:rsidRPr="00450395">
        <w:rPr>
          <w:color w:val="auto"/>
          <w:sz w:val="28"/>
          <w:szCs w:val="28"/>
        </w:rPr>
        <w:t>explains</w:t>
      </w:r>
      <w:r w:rsidR="00450395" w:rsidRPr="00450395">
        <w:rPr>
          <w:color w:val="auto"/>
          <w:sz w:val="28"/>
          <w:szCs w:val="28"/>
        </w:rPr>
        <w:t>:</w:t>
      </w:r>
      <w:r w:rsidR="008615B5" w:rsidRPr="00450395">
        <w:rPr>
          <w:color w:val="auto"/>
          <w:sz w:val="28"/>
          <w:szCs w:val="28"/>
        </w:rPr>
        <w:t xml:space="preserve"> “</w:t>
      </w:r>
      <w:r w:rsidR="008615B5" w:rsidRPr="00450395">
        <w:rPr>
          <w:color w:val="auto"/>
          <w:sz w:val="28"/>
          <w:szCs w:val="28"/>
          <w:shd w:val="clear" w:color="auto" w:fill="FFFFFF"/>
        </w:rPr>
        <w:t xml:space="preserve">[t]he </w:t>
      </w:r>
      <w:proofErr w:type="gramStart"/>
      <w:r w:rsidR="008615B5" w:rsidRPr="00450395">
        <w:rPr>
          <w:color w:val="auto"/>
          <w:sz w:val="28"/>
          <w:szCs w:val="28"/>
          <w:shd w:val="clear" w:color="auto" w:fill="FFFFFF"/>
        </w:rPr>
        <w:t>difference</w:t>
      </w:r>
      <w:proofErr w:type="gramEnd"/>
      <w:r w:rsidR="008615B5" w:rsidRPr="00450395">
        <w:rPr>
          <w:color w:val="auto"/>
          <w:sz w:val="28"/>
          <w:szCs w:val="28"/>
          <w:shd w:val="clear" w:color="auto" w:fill="FFFFFF"/>
        </w:rPr>
        <w:t xml:space="preserve"> between reckless misconduct and conduct involving only such a quantum of risk as is necessary to make it negligent is a difference in the degree of the risk, but this difference of degree is so marked as to amount substantially to a difference in kind.”</w:t>
      </w:r>
    </w:p>
    <w:sectPr w:rsidR="00EB4E63" w:rsidRPr="004503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E04C" w14:textId="77777777" w:rsidR="00C050AD" w:rsidRDefault="00C050AD" w:rsidP="00C050AD">
      <w:r>
        <w:separator/>
      </w:r>
    </w:p>
  </w:endnote>
  <w:endnote w:type="continuationSeparator" w:id="0">
    <w:p w14:paraId="41B102A5" w14:textId="77777777" w:rsidR="00C050AD" w:rsidRDefault="00C050AD" w:rsidP="00C0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9255" w14:textId="3E674AE9" w:rsidR="00C050AD" w:rsidRDefault="00C050AD">
    <w:pPr>
      <w:pStyle w:val="Footer"/>
    </w:pPr>
    <w:r>
      <w:t>Added 2026</w:t>
    </w:r>
    <w:r>
      <w:ptab w:relativeTo="margin" w:alignment="center" w:leader="none"/>
    </w:r>
    <w:r>
      <w:t>8.09</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E26B8" w14:textId="77777777" w:rsidR="00C050AD" w:rsidRDefault="00C050AD" w:rsidP="00C050AD">
      <w:r>
        <w:separator/>
      </w:r>
    </w:p>
  </w:footnote>
  <w:footnote w:type="continuationSeparator" w:id="0">
    <w:p w14:paraId="38D94589" w14:textId="77777777" w:rsidR="00C050AD" w:rsidRDefault="00C050AD" w:rsidP="00C05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36"/>
    <w:rsid w:val="0002570F"/>
    <w:rsid w:val="00034D70"/>
    <w:rsid w:val="00054841"/>
    <w:rsid w:val="00071C1C"/>
    <w:rsid w:val="000B3382"/>
    <w:rsid w:val="000D4EB3"/>
    <w:rsid w:val="000D5A67"/>
    <w:rsid w:val="000E4395"/>
    <w:rsid w:val="000F04D3"/>
    <w:rsid w:val="00103932"/>
    <w:rsid w:val="001460F8"/>
    <w:rsid w:val="00150FDC"/>
    <w:rsid w:val="00153863"/>
    <w:rsid w:val="0018532F"/>
    <w:rsid w:val="001B3459"/>
    <w:rsid w:val="001D3D50"/>
    <w:rsid w:val="001F7EA5"/>
    <w:rsid w:val="00231C7A"/>
    <w:rsid w:val="00284115"/>
    <w:rsid w:val="00294EEF"/>
    <w:rsid w:val="002D19DD"/>
    <w:rsid w:val="002F0A7D"/>
    <w:rsid w:val="002F7B39"/>
    <w:rsid w:val="00321A49"/>
    <w:rsid w:val="00323B53"/>
    <w:rsid w:val="00330090"/>
    <w:rsid w:val="003D2214"/>
    <w:rsid w:val="004027EE"/>
    <w:rsid w:val="004055EE"/>
    <w:rsid w:val="00422DFC"/>
    <w:rsid w:val="00450395"/>
    <w:rsid w:val="004847B6"/>
    <w:rsid w:val="00494860"/>
    <w:rsid w:val="004C0C84"/>
    <w:rsid w:val="004C4DB3"/>
    <w:rsid w:val="004D330C"/>
    <w:rsid w:val="004E163D"/>
    <w:rsid w:val="004E6516"/>
    <w:rsid w:val="005008AA"/>
    <w:rsid w:val="00501C3E"/>
    <w:rsid w:val="005053A0"/>
    <w:rsid w:val="00505F43"/>
    <w:rsid w:val="005136EA"/>
    <w:rsid w:val="00524632"/>
    <w:rsid w:val="0054109B"/>
    <w:rsid w:val="00560924"/>
    <w:rsid w:val="0057740F"/>
    <w:rsid w:val="005C0E67"/>
    <w:rsid w:val="005D4457"/>
    <w:rsid w:val="005E2244"/>
    <w:rsid w:val="005F2AC0"/>
    <w:rsid w:val="006076B9"/>
    <w:rsid w:val="00624790"/>
    <w:rsid w:val="006C0B20"/>
    <w:rsid w:val="007545C8"/>
    <w:rsid w:val="00772A3B"/>
    <w:rsid w:val="007A6401"/>
    <w:rsid w:val="007B5303"/>
    <w:rsid w:val="007D3A55"/>
    <w:rsid w:val="007E3BEB"/>
    <w:rsid w:val="007E4EC2"/>
    <w:rsid w:val="00807D36"/>
    <w:rsid w:val="008233C2"/>
    <w:rsid w:val="008238FA"/>
    <w:rsid w:val="00847ADA"/>
    <w:rsid w:val="008615B5"/>
    <w:rsid w:val="008A2A4E"/>
    <w:rsid w:val="008A57C9"/>
    <w:rsid w:val="008A717A"/>
    <w:rsid w:val="008B38A8"/>
    <w:rsid w:val="008C0892"/>
    <w:rsid w:val="008E2DA4"/>
    <w:rsid w:val="008F2F49"/>
    <w:rsid w:val="008F7354"/>
    <w:rsid w:val="00903990"/>
    <w:rsid w:val="00914515"/>
    <w:rsid w:val="0094714A"/>
    <w:rsid w:val="009513BB"/>
    <w:rsid w:val="0096283E"/>
    <w:rsid w:val="00977DDB"/>
    <w:rsid w:val="009B3032"/>
    <w:rsid w:val="009C6C3F"/>
    <w:rsid w:val="00A10C1F"/>
    <w:rsid w:val="00A27EE8"/>
    <w:rsid w:val="00AA61AC"/>
    <w:rsid w:val="00AB2219"/>
    <w:rsid w:val="00AC6679"/>
    <w:rsid w:val="00AF45E6"/>
    <w:rsid w:val="00B54BF7"/>
    <w:rsid w:val="00B90757"/>
    <w:rsid w:val="00BA177D"/>
    <w:rsid w:val="00BD41FB"/>
    <w:rsid w:val="00C0203C"/>
    <w:rsid w:val="00C035DB"/>
    <w:rsid w:val="00C04AC5"/>
    <w:rsid w:val="00C050AD"/>
    <w:rsid w:val="00C20647"/>
    <w:rsid w:val="00C3335F"/>
    <w:rsid w:val="00CB524C"/>
    <w:rsid w:val="00CD4E59"/>
    <w:rsid w:val="00CD6866"/>
    <w:rsid w:val="00CF5614"/>
    <w:rsid w:val="00D0038E"/>
    <w:rsid w:val="00D318B3"/>
    <w:rsid w:val="00D33819"/>
    <w:rsid w:val="00D40271"/>
    <w:rsid w:val="00D458FE"/>
    <w:rsid w:val="00D76BEE"/>
    <w:rsid w:val="00D778E7"/>
    <w:rsid w:val="00D86F2E"/>
    <w:rsid w:val="00D94015"/>
    <w:rsid w:val="00DE1EA1"/>
    <w:rsid w:val="00E022E0"/>
    <w:rsid w:val="00E06479"/>
    <w:rsid w:val="00E44C84"/>
    <w:rsid w:val="00E50525"/>
    <w:rsid w:val="00E55BE7"/>
    <w:rsid w:val="00E622D0"/>
    <w:rsid w:val="00E66543"/>
    <w:rsid w:val="00EA4025"/>
    <w:rsid w:val="00EA5C8B"/>
    <w:rsid w:val="00EB4E63"/>
    <w:rsid w:val="00EC2402"/>
    <w:rsid w:val="00ED25E2"/>
    <w:rsid w:val="00ED7937"/>
    <w:rsid w:val="00F060F0"/>
    <w:rsid w:val="00F307B8"/>
    <w:rsid w:val="00F64DE2"/>
    <w:rsid w:val="00FB61E3"/>
    <w:rsid w:val="00FE6F33"/>
    <w:rsid w:val="00FF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2FFF"/>
  <w15:chartTrackingRefBased/>
  <w15:docId w15:val="{D02BD684-1686-48AF-8FC0-31478C0B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D36"/>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uiPriority w:val="9"/>
    <w:qFormat/>
    <w:rsid w:val="00807D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07D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07D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07D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07D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07D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D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D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D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D3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07D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07D3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07D3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07D3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07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D36"/>
    <w:rPr>
      <w:rFonts w:eastAsiaTheme="majorEastAsia" w:cstheme="majorBidi"/>
      <w:color w:val="272727" w:themeColor="text1" w:themeTint="D8"/>
    </w:rPr>
  </w:style>
  <w:style w:type="paragraph" w:styleId="Title">
    <w:name w:val="Title"/>
    <w:basedOn w:val="Normal"/>
    <w:next w:val="Normal"/>
    <w:link w:val="TitleChar"/>
    <w:uiPriority w:val="10"/>
    <w:qFormat/>
    <w:rsid w:val="00807D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D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D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7D36"/>
    <w:rPr>
      <w:i/>
      <w:iCs/>
      <w:color w:val="404040" w:themeColor="text1" w:themeTint="BF"/>
    </w:rPr>
  </w:style>
  <w:style w:type="paragraph" w:styleId="ListParagraph">
    <w:name w:val="List Paragraph"/>
    <w:basedOn w:val="Normal"/>
    <w:uiPriority w:val="34"/>
    <w:qFormat/>
    <w:rsid w:val="00807D36"/>
    <w:pPr>
      <w:ind w:left="720"/>
      <w:contextualSpacing/>
    </w:pPr>
  </w:style>
  <w:style w:type="character" w:styleId="IntenseEmphasis">
    <w:name w:val="Intense Emphasis"/>
    <w:basedOn w:val="DefaultParagraphFont"/>
    <w:uiPriority w:val="21"/>
    <w:qFormat/>
    <w:rsid w:val="00807D36"/>
    <w:rPr>
      <w:i/>
      <w:iCs/>
      <w:color w:val="365F91" w:themeColor="accent1" w:themeShade="BF"/>
    </w:rPr>
  </w:style>
  <w:style w:type="paragraph" w:styleId="IntenseQuote">
    <w:name w:val="Intense Quote"/>
    <w:basedOn w:val="Normal"/>
    <w:next w:val="Normal"/>
    <w:link w:val="IntenseQuoteChar"/>
    <w:uiPriority w:val="30"/>
    <w:qFormat/>
    <w:rsid w:val="00807D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7D36"/>
    <w:rPr>
      <w:i/>
      <w:iCs/>
      <w:color w:val="365F91" w:themeColor="accent1" w:themeShade="BF"/>
    </w:rPr>
  </w:style>
  <w:style w:type="character" w:styleId="IntenseReference">
    <w:name w:val="Intense Reference"/>
    <w:basedOn w:val="DefaultParagraphFont"/>
    <w:uiPriority w:val="32"/>
    <w:qFormat/>
    <w:rsid w:val="00807D36"/>
    <w:rPr>
      <w:b/>
      <w:bCs/>
      <w:smallCaps/>
      <w:color w:val="365F91" w:themeColor="accent1" w:themeShade="BF"/>
      <w:spacing w:val="5"/>
    </w:rPr>
  </w:style>
  <w:style w:type="character" w:styleId="Hyperlink">
    <w:name w:val="Hyperlink"/>
    <w:rsid w:val="000E4395"/>
    <w:rPr>
      <w:color w:val="0000FF"/>
      <w:u w:val="single"/>
    </w:rPr>
  </w:style>
  <w:style w:type="paragraph" w:styleId="FootnoteText">
    <w:name w:val="footnote text"/>
    <w:basedOn w:val="Normal"/>
    <w:link w:val="FootnoteTextChar"/>
    <w:uiPriority w:val="99"/>
    <w:rsid w:val="005053A0"/>
    <w:pPr>
      <w:widowControl/>
    </w:pPr>
    <w:rPr>
      <w:snapToGrid/>
      <w:color w:val="000000"/>
      <w:sz w:val="20"/>
    </w:rPr>
  </w:style>
  <w:style w:type="character" w:customStyle="1" w:styleId="FootnoteTextChar">
    <w:name w:val="Footnote Text Char"/>
    <w:basedOn w:val="DefaultParagraphFont"/>
    <w:link w:val="FootnoteText"/>
    <w:uiPriority w:val="99"/>
    <w:rsid w:val="005053A0"/>
    <w:rPr>
      <w:rFonts w:ascii="Times New Roman" w:eastAsia="Times New Roman" w:hAnsi="Times New Roman" w:cs="Times New Roman"/>
      <w:color w:val="000000"/>
      <w:kern w:val="0"/>
      <w:sz w:val="20"/>
      <w:szCs w:val="20"/>
      <w14:ligatures w14:val="none"/>
    </w:rPr>
  </w:style>
  <w:style w:type="paragraph" w:styleId="BodyTextIndent2">
    <w:name w:val="Body Text Indent 2"/>
    <w:basedOn w:val="Normal"/>
    <w:link w:val="BodyTextIndent2Char"/>
    <w:rsid w:val="00EA5C8B"/>
    <w:pPr>
      <w:widowControl/>
      <w:spacing w:after="120" w:line="480" w:lineRule="auto"/>
      <w:ind w:left="360"/>
    </w:pPr>
    <w:rPr>
      <w:snapToGrid/>
    </w:rPr>
  </w:style>
  <w:style w:type="character" w:customStyle="1" w:styleId="BodyTextIndent2Char">
    <w:name w:val="Body Text Indent 2 Char"/>
    <w:basedOn w:val="DefaultParagraphFont"/>
    <w:link w:val="BodyTextIndent2"/>
    <w:rsid w:val="00EA5C8B"/>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C050AD"/>
    <w:pPr>
      <w:tabs>
        <w:tab w:val="center" w:pos="4680"/>
        <w:tab w:val="right" w:pos="9360"/>
      </w:tabs>
    </w:pPr>
  </w:style>
  <w:style w:type="character" w:customStyle="1" w:styleId="HeaderChar">
    <w:name w:val="Header Char"/>
    <w:basedOn w:val="DefaultParagraphFont"/>
    <w:link w:val="Header"/>
    <w:uiPriority w:val="99"/>
    <w:rsid w:val="00C050AD"/>
    <w:rPr>
      <w:rFonts w:ascii="Times New Roman" w:eastAsia="Times New Roman" w:hAnsi="Times New Roman" w:cs="Times New Roman"/>
      <w:snapToGrid w:val="0"/>
      <w:kern w:val="0"/>
      <w:sz w:val="24"/>
      <w:szCs w:val="20"/>
      <w14:ligatures w14:val="none"/>
    </w:rPr>
  </w:style>
  <w:style w:type="paragraph" w:styleId="Footer">
    <w:name w:val="footer"/>
    <w:basedOn w:val="Normal"/>
    <w:link w:val="FooterChar"/>
    <w:uiPriority w:val="99"/>
    <w:unhideWhenUsed/>
    <w:rsid w:val="00C050AD"/>
    <w:pPr>
      <w:tabs>
        <w:tab w:val="center" w:pos="4680"/>
        <w:tab w:val="right" w:pos="9360"/>
      </w:tabs>
    </w:pPr>
  </w:style>
  <w:style w:type="character" w:customStyle="1" w:styleId="FooterChar">
    <w:name w:val="Footer Char"/>
    <w:basedOn w:val="DefaultParagraphFont"/>
    <w:link w:val="Footer"/>
    <w:uiPriority w:val="99"/>
    <w:rsid w:val="00C050AD"/>
    <w:rPr>
      <w:rFonts w:ascii="Times New Roman" w:eastAsia="Times New Roman" w:hAnsi="Times New Roman"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1.next.westlaw.com/Link/Document/FullText?findType=Y&amp;serNum=0294806421&amp;pubNum=0101577&amp;originatingDoc=I6dae86b0f5aa11d9b386b232635db992&amp;refType=TS&amp;originationContext=document&amp;transitionType=DocumentItem&amp;ppcid=b1fc76c91d2442f3a070c00cb7c4c29b&amp;contextData=(sc.UserEnteredCi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0294806421&amp;pubNum=0101577&amp;originatingDoc=I6dae86b0f5aa11d9b386b232635db992&amp;refType=TS&amp;originationContext=document&amp;transitionType=DocumentItem&amp;ppcid=b1fc76c91d2442f3a070c00cb7c4c29b&amp;contextData=(sc.UserEnteredCit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Simonian</dc:creator>
  <cp:keywords/>
  <dc:description/>
  <cp:lastModifiedBy>Hanley Robinson</cp:lastModifiedBy>
  <cp:revision>4</cp:revision>
  <dcterms:created xsi:type="dcterms:W3CDTF">2026-03-20T21:13:00Z</dcterms:created>
  <dcterms:modified xsi:type="dcterms:W3CDTF">2026-05-21T20:53:00Z</dcterms:modified>
</cp:coreProperties>
</file>