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4F" w:rsidRDefault="009D2C4F">
      <w:pPr>
        <w:pStyle w:val="BodyText"/>
        <w:ind w:left="1440" w:hanging="1440"/>
        <w:jc w:val="both"/>
        <w:rPr>
          <w:sz w:val="26"/>
        </w:rPr>
      </w:pPr>
      <w:bookmarkStart w:id="0" w:name="_GoBack"/>
      <w:bookmarkEnd w:id="0"/>
      <w:r>
        <w:rPr>
          <w:sz w:val="26"/>
        </w:rPr>
        <w:t xml:space="preserve">8.11A </w:t>
      </w:r>
      <w:r>
        <w:rPr>
          <w:sz w:val="26"/>
        </w:rPr>
        <w:tab/>
      </w:r>
      <w:r>
        <w:rPr>
          <w:snapToGrid w:val="0"/>
          <w:sz w:val="26"/>
        </w:rPr>
        <w:t xml:space="preserve">ATTORNEY MALPRACTICE – </w:t>
      </w:r>
      <w:r>
        <w:rPr>
          <w:sz w:val="26"/>
        </w:rPr>
        <w:t>CASE WITHIN CASE (CIVIL) – AFFIRMATIVE DEFENSE OF COLLECTIBILITY</w:t>
      </w:r>
    </w:p>
    <w:p w:rsidR="009D2C4F" w:rsidRDefault="009D2C4F">
      <w:pPr>
        <w:pStyle w:val="BodyText"/>
        <w:jc w:val="both"/>
        <w:rPr>
          <w:sz w:val="26"/>
        </w:rPr>
      </w:pPr>
    </w:p>
    <w:p w:rsidR="009D2C4F" w:rsidRDefault="009D2C4F">
      <w:pPr>
        <w:pStyle w:val="BodyText"/>
        <w:jc w:val="both"/>
        <w:rPr>
          <w:sz w:val="26"/>
        </w:rPr>
      </w:pPr>
    </w:p>
    <w:p w:rsidR="009D2C4F" w:rsidRDefault="009D2C4F">
      <w:pPr>
        <w:pStyle w:val="BodyText"/>
        <w:spacing w:line="360" w:lineRule="auto"/>
        <w:jc w:val="both"/>
        <w:rPr>
          <w:sz w:val="26"/>
        </w:rPr>
      </w:pPr>
      <w:r>
        <w:rPr>
          <w:sz w:val="26"/>
        </w:rPr>
        <w:t xml:space="preserve">The plaintiff claims that [he] [she] would have received a judgment [in a higher amount] in the prior case if the defendant had not been negligent. The defendant denies liability on the ground that even if the plaintiff had received a judgment [in a higher amount], the plaintiff would not have been able to collect some or all of the [additional] money that was awarded. </w:t>
      </w:r>
    </w:p>
    <w:p w:rsidR="009D2C4F" w:rsidRDefault="009D2C4F">
      <w:pPr>
        <w:pStyle w:val="BodyText"/>
        <w:spacing w:line="360" w:lineRule="auto"/>
        <w:jc w:val="both"/>
        <w:rPr>
          <w:sz w:val="26"/>
        </w:rPr>
      </w:pPr>
    </w:p>
    <w:p w:rsidR="009D2C4F" w:rsidRDefault="009D2C4F">
      <w:pPr>
        <w:pStyle w:val="BodyText"/>
        <w:spacing w:line="360" w:lineRule="auto"/>
        <w:jc w:val="both"/>
        <w:rPr>
          <w:sz w:val="26"/>
        </w:rPr>
      </w:pPr>
      <w:r>
        <w:rPr>
          <w:sz w:val="26"/>
        </w:rPr>
        <w:t xml:space="preserve">You must decide whether it is more likely true than not true that the plaintiff would have been unable to collect some or all of the [additional] money that [he] [she] claims should have been awarded. Your award to the plaintiff must be limited to the [additional] money that the plaintiff could have collected. </w:t>
      </w:r>
    </w:p>
    <w:p w:rsidR="009D2C4F" w:rsidRDefault="009D2C4F">
      <w:pPr>
        <w:pStyle w:val="BodyText"/>
        <w:spacing w:line="360" w:lineRule="auto"/>
        <w:jc w:val="both"/>
        <w:rPr>
          <w:sz w:val="26"/>
        </w:rPr>
      </w:pPr>
    </w:p>
    <w:p w:rsidR="009D2C4F" w:rsidRDefault="009D2C4F">
      <w:pPr>
        <w:pStyle w:val="Heading1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Use Note</w:t>
      </w:r>
    </w:p>
    <w:p w:rsidR="009D2C4F" w:rsidRDefault="009D2C4F">
      <w:pPr>
        <w:pStyle w:val="BodyTextIndent"/>
        <w:spacing w:line="240" w:lineRule="auto"/>
        <w:ind w:firstLine="0"/>
        <w:rPr>
          <w:rFonts w:ascii="Bookman Old Style" w:hAnsi="Bookman Old Style"/>
          <w:sz w:val="26"/>
        </w:rPr>
      </w:pPr>
    </w:p>
    <w:p w:rsidR="009D2C4F" w:rsidRDefault="009D2C4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instruction sets out the defense of </w:t>
      </w:r>
      <w:proofErr w:type="spellStart"/>
      <w:r>
        <w:rPr>
          <w:rFonts w:ascii="Bookman Old Style" w:hAnsi="Bookman Old Style"/>
        </w:rPr>
        <w:t>collectibility</w:t>
      </w:r>
      <w:proofErr w:type="spellEnd"/>
      <w:r>
        <w:rPr>
          <w:rFonts w:ascii="Bookman Old Style" w:hAnsi="Bookman Old Style"/>
        </w:rPr>
        <w:t xml:space="preserve"> for use in an attorney malpractice action where the plaintiff contends that he or she would have received a more favorable result in the prior action in the absence of defendant’s negligence, i.e., either a judgment for the plaintiff where there was a defense verdict, or a higher judgment for the plaintiff. It should be used with Instruction 8.11. </w:t>
      </w:r>
    </w:p>
    <w:p w:rsidR="009D2C4F" w:rsidRDefault="009D2C4F">
      <w:pPr>
        <w:jc w:val="both"/>
        <w:rPr>
          <w:rFonts w:ascii="Bookman Old Style" w:hAnsi="Bookman Old Style"/>
        </w:rPr>
      </w:pPr>
    </w:p>
    <w:p w:rsidR="009D2C4F" w:rsidRDefault="009D2C4F">
      <w:pPr>
        <w:pStyle w:val="Heading1"/>
        <w:spacing w:line="24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Comment</w:t>
      </w:r>
    </w:p>
    <w:p w:rsidR="009D2C4F" w:rsidRDefault="009D2C4F">
      <w:pPr>
        <w:pStyle w:val="BodyText"/>
        <w:jc w:val="both"/>
        <w:rPr>
          <w:sz w:val="26"/>
        </w:rPr>
      </w:pPr>
      <w:r>
        <w:rPr>
          <w:sz w:val="26"/>
        </w:rPr>
        <w:tab/>
      </w:r>
    </w:p>
    <w:p w:rsidR="009D2C4F" w:rsidRDefault="009D2C4F">
      <w:pPr>
        <w:pStyle w:val="Heading2"/>
        <w:jc w:val="both"/>
        <w:rPr>
          <w:i w:val="0"/>
          <w:sz w:val="26"/>
        </w:rPr>
      </w:pPr>
      <w:r>
        <w:rPr>
          <w:i w:val="0"/>
          <w:sz w:val="26"/>
          <w:u w:val="single"/>
        </w:rPr>
        <w:t xml:space="preserve">Power Constructors, Inc. v.  Taylor &amp; </w:t>
      </w:r>
      <w:proofErr w:type="spellStart"/>
      <w:r>
        <w:rPr>
          <w:i w:val="0"/>
          <w:sz w:val="26"/>
          <w:u w:val="single"/>
        </w:rPr>
        <w:t>Hintze</w:t>
      </w:r>
      <w:proofErr w:type="spellEnd"/>
      <w:r>
        <w:rPr>
          <w:i w:val="0"/>
          <w:sz w:val="26"/>
        </w:rPr>
        <w:t xml:space="preserve">,  960 P.2d 20, 32 (Alaska 1998), held that the trial court erred in instructing the jury that the plaintiff in a malpractice action has the burden of proving that the judgment that the plaintiff contended should have been awarded in the underlying action was collectable. Instead, the court held that </w:t>
      </w:r>
      <w:proofErr w:type="spellStart"/>
      <w:r>
        <w:rPr>
          <w:i w:val="0"/>
          <w:sz w:val="26"/>
        </w:rPr>
        <w:t>collectibility</w:t>
      </w:r>
      <w:proofErr w:type="spellEnd"/>
      <w:r>
        <w:rPr>
          <w:i w:val="0"/>
          <w:sz w:val="26"/>
        </w:rPr>
        <w:t xml:space="preserve"> is available to the defendant as an affirmative defense. </w:t>
      </w:r>
      <w:r>
        <w:rPr>
          <w:i w:val="0"/>
          <w:sz w:val="26"/>
          <w:u w:val="single"/>
        </w:rPr>
        <w:t>Id</w:t>
      </w:r>
      <w:r>
        <w:rPr>
          <w:sz w:val="26"/>
        </w:rPr>
        <w:t>.</w:t>
      </w:r>
      <w:r>
        <w:rPr>
          <w:i w:val="0"/>
          <w:sz w:val="26"/>
        </w:rPr>
        <w:t xml:space="preserve">  The court reasoned that since the need to determine </w:t>
      </w:r>
      <w:proofErr w:type="spellStart"/>
      <w:r>
        <w:rPr>
          <w:i w:val="0"/>
          <w:sz w:val="26"/>
        </w:rPr>
        <w:t>collectibility</w:t>
      </w:r>
      <w:proofErr w:type="spellEnd"/>
      <w:r>
        <w:rPr>
          <w:i w:val="0"/>
          <w:sz w:val="26"/>
        </w:rPr>
        <w:t xml:space="preserve"> is </w:t>
      </w:r>
      <w:r>
        <w:rPr>
          <w:i w:val="0"/>
          <w:sz w:val="26"/>
        </w:rPr>
        <w:lastRenderedPageBreak/>
        <w:t xml:space="preserve">caused by professional negligence, the malpracticing attorney should bear the inherent risks and uncertainties of proving </w:t>
      </w:r>
      <w:proofErr w:type="spellStart"/>
      <w:r>
        <w:rPr>
          <w:i w:val="0"/>
          <w:sz w:val="26"/>
        </w:rPr>
        <w:t>collectibility</w:t>
      </w:r>
      <w:proofErr w:type="spellEnd"/>
      <w:r>
        <w:rPr>
          <w:i w:val="0"/>
          <w:sz w:val="26"/>
        </w:rPr>
        <w:t xml:space="preserve">.  </w:t>
      </w:r>
      <w:r>
        <w:rPr>
          <w:i w:val="0"/>
          <w:sz w:val="26"/>
          <w:u w:val="single"/>
        </w:rPr>
        <w:t>Id</w:t>
      </w:r>
      <w:r>
        <w:rPr>
          <w:sz w:val="26"/>
        </w:rPr>
        <w:t xml:space="preserve">. </w:t>
      </w:r>
      <w:r>
        <w:rPr>
          <w:i w:val="0"/>
          <w:sz w:val="26"/>
        </w:rPr>
        <w:t>at 31.</w:t>
      </w:r>
    </w:p>
    <w:p w:rsidR="009D2C4F" w:rsidRDefault="009D2C4F">
      <w:pPr>
        <w:pStyle w:val="Heading2"/>
        <w:jc w:val="both"/>
        <w:rPr>
          <w:i w:val="0"/>
          <w:sz w:val="26"/>
        </w:rPr>
      </w:pPr>
    </w:p>
    <w:p w:rsidR="009D2C4F" w:rsidRDefault="009D2C4F">
      <w:pPr>
        <w:pStyle w:val="Heading2"/>
        <w:jc w:val="both"/>
        <w:rPr>
          <w:sz w:val="26"/>
        </w:rPr>
      </w:pPr>
      <w:r>
        <w:rPr>
          <w:i w:val="0"/>
          <w:sz w:val="26"/>
        </w:rPr>
        <w:t xml:space="preserve">   </w:t>
      </w:r>
      <w:r>
        <w:rPr>
          <w:sz w:val="26"/>
        </w:rPr>
        <w:t xml:space="preserve"> </w:t>
      </w:r>
    </w:p>
    <w:sectPr w:rsidR="009D2C4F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4B04">
      <w:r>
        <w:separator/>
      </w:r>
    </w:p>
  </w:endnote>
  <w:endnote w:type="continuationSeparator" w:id="0">
    <w:p w:rsidR="00000000" w:rsidRDefault="0047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4F" w:rsidRDefault="009D2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D2C4F" w:rsidRDefault="009D2C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4F" w:rsidRDefault="009D2C4F">
    <w:pPr>
      <w:pStyle w:val="Footer"/>
      <w:framePr w:wrap="around" w:vAnchor="text" w:hAnchor="margin" w:xAlign="center" w:y="1"/>
      <w:rPr>
        <w:rStyle w:val="PageNumber"/>
      </w:rPr>
    </w:pPr>
  </w:p>
  <w:p w:rsidR="009D2C4F" w:rsidRDefault="009D2C4F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  <w:sz w:val="24"/>
      </w:rPr>
    </w:pPr>
    <w:r>
      <w:rPr>
        <w:rStyle w:val="PageNumber"/>
        <w:rFonts w:ascii="Bookman Old Style" w:hAnsi="Bookman Old Style"/>
        <w:sz w:val="24"/>
      </w:rPr>
      <w:t>ADDED 2002</w:t>
    </w:r>
  </w:p>
  <w:p w:rsidR="009D2C4F" w:rsidRDefault="009D2C4F">
    <w:pPr>
      <w:pStyle w:val="Footer"/>
      <w:rPr>
        <w:b/>
        <w:i/>
        <w:smallCaps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4B04">
      <w:r>
        <w:separator/>
      </w:r>
    </w:p>
  </w:footnote>
  <w:footnote w:type="continuationSeparator" w:id="0">
    <w:p w:rsidR="00000000" w:rsidRDefault="0047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4F" w:rsidRDefault="009D2C4F">
    <w:pPr>
      <w:pStyle w:val="Header"/>
      <w:jc w:val="right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8.11A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781"/>
    <w:multiLevelType w:val="singleLevel"/>
    <w:tmpl w:val="52BA11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28"/>
    <w:rsid w:val="00474B04"/>
    <w:rsid w:val="00684428"/>
    <w:rsid w:val="009D2C4F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spacing w:line="480" w:lineRule="atLeast"/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Bookman Old Style" w:hAnsi="Bookman Old Style"/>
      <w:sz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 w:val="24"/>
    </w:rPr>
  </w:style>
  <w:style w:type="paragraph" w:styleId="BodyTextIndent">
    <w:name w:val="Body Text Indent"/>
    <w:basedOn w:val="Normal"/>
    <w:pPr>
      <w:spacing w:line="480" w:lineRule="atLeast"/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spacing w:line="480" w:lineRule="atLeast"/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Bookman Old Style" w:hAnsi="Bookman Old Style"/>
      <w:sz w:val="24"/>
    </w:rPr>
  </w:style>
  <w:style w:type="paragraph" w:styleId="BodyText2">
    <w:name w:val="Body Text 2"/>
    <w:basedOn w:val="Normal"/>
    <w:pPr>
      <w:jc w:val="both"/>
    </w:pPr>
    <w:rPr>
      <w:rFonts w:ascii="Bookman Old Style" w:hAnsi="Bookman Old Style"/>
      <w:sz w:val="24"/>
    </w:rPr>
  </w:style>
  <w:style w:type="paragraph" w:styleId="BodyTextIndent">
    <w:name w:val="Body Text Indent"/>
    <w:basedOn w:val="Normal"/>
    <w:pPr>
      <w:spacing w:line="480" w:lineRule="atLeast"/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03/01/01 Draft</vt:lpstr>
    </vt:vector>
  </TitlesOfParts>
  <Company>SOA - Department of Law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03/01/01 Draft</dc:title>
  <dc:subject/>
  <dc:creator>Richard Todd</dc:creator>
  <cp:keywords/>
  <dc:description/>
  <cp:lastModifiedBy>Michael Merrington</cp:lastModifiedBy>
  <cp:revision>3</cp:revision>
  <cp:lastPrinted>2001-07-10T17:10:00Z</cp:lastPrinted>
  <dcterms:created xsi:type="dcterms:W3CDTF">2017-04-04T18:49:00Z</dcterms:created>
  <dcterms:modified xsi:type="dcterms:W3CDTF">2017-04-04T18:49:00Z</dcterms:modified>
</cp:coreProperties>
</file>