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AB" w:rsidRDefault="005D0637" w:rsidP="00184A92">
      <w:pPr>
        <w:tabs>
          <w:tab w:val="left" w:pos="1440"/>
          <w:tab w:val="center" w:pos="4680"/>
        </w:tabs>
        <w:ind w:left="1440" w:hanging="1440"/>
        <w:jc w:val="both"/>
        <w:rPr>
          <w:rFonts w:ascii="Bookman Old Style" w:hAnsi="Bookman Old Style" w:cs="Courier New"/>
          <w:sz w:val="26"/>
        </w:rPr>
      </w:pPr>
      <w:bookmarkStart w:id="0" w:name="_GoBack"/>
      <w:bookmarkEnd w:id="0"/>
      <w:r>
        <w:rPr>
          <w:rFonts w:ascii="Bookman Old Style" w:hAnsi="Bookman Old Style" w:cs="Courier New"/>
          <w:b/>
          <w:bCs/>
          <w:sz w:val="26"/>
        </w:rPr>
        <w:t>09</w:t>
      </w:r>
      <w:r w:rsidR="00CD6CAB">
        <w:rPr>
          <w:rFonts w:ascii="Bookman Old Style" w:hAnsi="Bookman Old Style" w:cs="Courier New"/>
          <w:b/>
          <w:bCs/>
          <w:sz w:val="26"/>
        </w:rPr>
        <w:t>.</w:t>
      </w:r>
      <w:r>
        <w:rPr>
          <w:rFonts w:ascii="Bookman Old Style" w:hAnsi="Bookman Old Style" w:cs="Courier New"/>
          <w:b/>
          <w:bCs/>
          <w:sz w:val="26"/>
        </w:rPr>
        <w:t>0</w:t>
      </w:r>
      <w:r w:rsidR="00CD6CAB">
        <w:rPr>
          <w:rFonts w:ascii="Bookman Old Style" w:hAnsi="Bookman Old Style" w:cs="Courier New"/>
          <w:b/>
          <w:bCs/>
          <w:sz w:val="26"/>
        </w:rPr>
        <w:t>6</w:t>
      </w:r>
      <w:r w:rsidR="00CD6CAB">
        <w:rPr>
          <w:rFonts w:ascii="Bookman Old Style" w:hAnsi="Bookman Old Style" w:cs="Courier New"/>
          <w:sz w:val="26"/>
        </w:rPr>
        <w:tab/>
      </w:r>
      <w:r w:rsidR="00184A92" w:rsidRPr="00184A92">
        <w:rPr>
          <w:rFonts w:ascii="Bookman Old Style" w:hAnsi="Bookman Old Style" w:cs="Courier New"/>
          <w:b/>
          <w:sz w:val="26"/>
        </w:rPr>
        <w:t>EMPLOYER’S LIABILITY FOR</w:t>
      </w:r>
      <w:r w:rsidR="00184A92">
        <w:rPr>
          <w:rFonts w:ascii="Bookman Old Style" w:hAnsi="Bookman Old Style" w:cs="Courier New"/>
          <w:sz w:val="26"/>
        </w:rPr>
        <w:t xml:space="preserve"> </w:t>
      </w:r>
      <w:r w:rsidR="00CD6CAB">
        <w:rPr>
          <w:rFonts w:ascii="Bookman Old Style" w:hAnsi="Bookman Old Style" w:cs="Courier New"/>
          <w:b/>
          <w:bCs/>
          <w:sz w:val="26"/>
        </w:rPr>
        <w:t>SEXUAL HARASSMENT:  QUID PRO QUO</w:t>
      </w:r>
    </w:p>
    <w:p w:rsidR="00CD6CAB" w:rsidRDefault="00CD6CAB">
      <w:pPr>
        <w:rPr>
          <w:rFonts w:ascii="Bookman Old Style" w:hAnsi="Bookman Old Style" w:cs="Courier New"/>
          <w:sz w:val="26"/>
        </w:rPr>
      </w:pPr>
    </w:p>
    <w:p w:rsidR="00CD6CAB" w:rsidRDefault="00CD6CAB">
      <w:pPr>
        <w:pStyle w:val="BodyText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plaintiff claims that [he][she] was subjected to a form of sexual harassment known as quid pro quo sexual harassment. To prevail on this claim, the plaintiff must prove that it is more likely true than not true that:</w:t>
      </w:r>
    </w:p>
    <w:p w:rsidR="00CD6CAB" w:rsidRDefault="00CD6CAB">
      <w:pPr>
        <w:pStyle w:val="BodyText"/>
        <w:spacing w:line="240" w:lineRule="auto"/>
        <w:rPr>
          <w:rFonts w:ascii="Bookman Old Style" w:hAnsi="Bookman Old Style"/>
          <w:sz w:val="26"/>
        </w:rPr>
      </w:pPr>
    </w:p>
    <w:p w:rsidR="00CD6CAB" w:rsidRDefault="00CD6CAB">
      <w:pPr>
        <w:spacing w:line="360" w:lineRule="auto"/>
        <w:ind w:left="720" w:hanging="720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(1)</w:t>
      </w:r>
      <w:r>
        <w:rPr>
          <w:rFonts w:ascii="Bookman Old Style" w:hAnsi="Bookman Old Style" w:cs="Courier New"/>
          <w:sz w:val="26"/>
        </w:rPr>
        <w:tab/>
        <w:t>[he][she] was subjected to sexual advances, requests for sexual favors, or other verbal or physical conduct of a sexual nature;</w:t>
      </w:r>
    </w:p>
    <w:p w:rsidR="00CD6CAB" w:rsidRDefault="00CD6CAB">
      <w:pPr>
        <w:ind w:left="720" w:hanging="720"/>
        <w:jc w:val="both"/>
        <w:rPr>
          <w:rFonts w:ascii="Bookman Old Style" w:hAnsi="Bookman Old Style" w:cs="Courier New"/>
          <w:sz w:val="26"/>
        </w:rPr>
      </w:pPr>
    </w:p>
    <w:p w:rsidR="00CD6CAB" w:rsidRDefault="00CD6CAB">
      <w:pPr>
        <w:spacing w:line="360" w:lineRule="auto"/>
        <w:ind w:left="720" w:hanging="720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(2)</w:t>
      </w:r>
      <w:r>
        <w:rPr>
          <w:rFonts w:ascii="Bookman Old Style" w:hAnsi="Bookman Old Style" w:cs="Courier New"/>
          <w:sz w:val="26"/>
        </w:rPr>
        <w:tab/>
        <w:t xml:space="preserve">the conduct was unwelcome; </w:t>
      </w:r>
    </w:p>
    <w:p w:rsidR="00CD6CAB" w:rsidRDefault="00CD6CAB">
      <w:pPr>
        <w:ind w:left="720" w:hanging="720"/>
        <w:jc w:val="both"/>
        <w:rPr>
          <w:rFonts w:ascii="Bookman Old Style" w:hAnsi="Bookman Old Style" w:cs="Courier New"/>
          <w:sz w:val="26"/>
        </w:rPr>
      </w:pPr>
    </w:p>
    <w:p w:rsidR="00CD6CAB" w:rsidRDefault="00CD6CAB">
      <w:pPr>
        <w:spacing w:line="360" w:lineRule="auto"/>
        <w:ind w:left="720" w:hanging="720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(3)</w:t>
      </w:r>
      <w:r>
        <w:rPr>
          <w:rFonts w:ascii="Bookman Old Style" w:hAnsi="Bookman Old Style" w:cs="Courier New"/>
          <w:sz w:val="26"/>
        </w:rPr>
        <w:tab/>
      </w:r>
      <w:r>
        <w:rPr>
          <w:rFonts w:ascii="Bookman Old Style" w:hAnsi="Bookman Old Style" w:cs="Courier New"/>
          <w:sz w:val="26"/>
          <w:u w:val="single"/>
        </w:rPr>
        <w:t>either</w:t>
      </w:r>
      <w:r>
        <w:rPr>
          <w:rFonts w:ascii="Bookman Old Style" w:hAnsi="Bookman Old Style" w:cs="Courier New"/>
          <w:sz w:val="26"/>
        </w:rPr>
        <w:t xml:space="preserve"> </w:t>
      </w:r>
    </w:p>
    <w:p w:rsidR="00CD6CAB" w:rsidRDefault="00CD6CAB">
      <w:pPr>
        <w:spacing w:line="360" w:lineRule="auto"/>
        <w:ind w:left="1440" w:hanging="720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(a)</w:t>
      </w:r>
      <w:r>
        <w:rPr>
          <w:rFonts w:ascii="Bookman Old Style" w:hAnsi="Bookman Old Style" w:cs="Courier New"/>
          <w:sz w:val="26"/>
        </w:rPr>
        <w:tab/>
      </w:r>
      <w:r w:rsidR="00B63254">
        <w:rPr>
          <w:rFonts w:ascii="Bookman Old Style" w:hAnsi="Bookman Old Style" w:cs="Courier New"/>
          <w:sz w:val="26"/>
        </w:rPr>
        <w:t xml:space="preserve">[his][her] </w:t>
      </w:r>
      <w:r>
        <w:rPr>
          <w:rFonts w:ascii="Bookman Old Style" w:hAnsi="Bookman Old Style" w:cs="Courier New"/>
          <w:sz w:val="26"/>
        </w:rPr>
        <w:t xml:space="preserve">submission to the conduct was made a term or condition of [his][her] employment, either explicitly or implicitly; </w:t>
      </w:r>
      <w:r>
        <w:rPr>
          <w:rFonts w:ascii="Bookman Old Style" w:hAnsi="Bookman Old Style" w:cs="Courier New"/>
          <w:sz w:val="26"/>
          <w:u w:val="single"/>
        </w:rPr>
        <w:t>or</w:t>
      </w:r>
      <w:r>
        <w:rPr>
          <w:rFonts w:ascii="Bookman Old Style" w:hAnsi="Bookman Old Style" w:cs="Courier New"/>
          <w:sz w:val="26"/>
        </w:rPr>
        <w:t xml:space="preserve"> </w:t>
      </w:r>
    </w:p>
    <w:p w:rsidR="00CD6CAB" w:rsidRDefault="00CD6CAB">
      <w:pPr>
        <w:spacing w:line="360" w:lineRule="auto"/>
        <w:ind w:left="1440" w:hanging="720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 xml:space="preserve">(b) </w:t>
      </w:r>
      <w:r>
        <w:rPr>
          <w:rFonts w:ascii="Bookman Old Style" w:hAnsi="Bookman Old Style" w:cs="Courier New"/>
          <w:sz w:val="26"/>
        </w:rPr>
        <w:tab/>
        <w:t>[his][her] submission or rejection of the conduct was used as the basis for a decision affecting [his][her] employment; and</w:t>
      </w:r>
    </w:p>
    <w:p w:rsidR="00CD6CAB" w:rsidRDefault="00CD6CAB">
      <w:pPr>
        <w:ind w:left="1440" w:hanging="720"/>
        <w:jc w:val="both"/>
        <w:rPr>
          <w:rFonts w:ascii="Bookman Old Style" w:hAnsi="Bookman Old Style" w:cs="Courier New"/>
          <w:sz w:val="26"/>
        </w:rPr>
      </w:pPr>
    </w:p>
    <w:p w:rsidR="00CD6CAB" w:rsidRDefault="00CD6CAB">
      <w:pPr>
        <w:spacing w:line="360" w:lineRule="auto"/>
        <w:ind w:left="720" w:hanging="720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(4)</w:t>
      </w:r>
      <w:r>
        <w:rPr>
          <w:rFonts w:ascii="Bookman Old Style" w:hAnsi="Bookman Old Style" w:cs="Courier New"/>
          <w:sz w:val="26"/>
        </w:rPr>
        <w:tab/>
        <w:t>the sexual harassment was the legal cause of damages to the plaintiff.</w:t>
      </w:r>
    </w:p>
    <w:p w:rsidR="00CD6CAB" w:rsidRDefault="00CD6CAB">
      <w:pPr>
        <w:ind w:left="720" w:hanging="720"/>
        <w:jc w:val="both"/>
        <w:rPr>
          <w:rFonts w:ascii="Bookman Old Style" w:hAnsi="Bookman Old Style" w:cs="Courier New"/>
          <w:sz w:val="26"/>
        </w:rPr>
      </w:pPr>
    </w:p>
    <w:p w:rsidR="00CD6CAB" w:rsidRDefault="00CD6CAB">
      <w:pPr>
        <w:pStyle w:val="BodyText2"/>
        <w:spacing w:line="360" w:lineRule="auto"/>
      </w:pPr>
      <w:r>
        <w:t>Quid pro quo harassment can only be committed by a supervisor or a member of the employer’s management with the power to give or to deny a tangible job benefit.</w:t>
      </w:r>
    </w:p>
    <w:p w:rsidR="00B63254" w:rsidRDefault="00B63254">
      <w:pPr>
        <w:pStyle w:val="BodyText2"/>
        <w:spacing w:line="360" w:lineRule="auto"/>
      </w:pPr>
    </w:p>
    <w:p w:rsidR="00B63254" w:rsidRDefault="00B63254" w:rsidP="00B63254">
      <w:pPr>
        <w:pStyle w:val="BodyText2"/>
        <w:spacing w:line="360" w:lineRule="auto"/>
        <w:jc w:val="center"/>
      </w:pPr>
      <w:r>
        <w:rPr>
          <w:b/>
        </w:rPr>
        <w:t>Use Note</w:t>
      </w:r>
    </w:p>
    <w:p w:rsidR="00B63254" w:rsidRDefault="00B63254" w:rsidP="00B63254">
      <w:pPr>
        <w:pStyle w:val="BodyText2"/>
        <w:spacing w:line="240" w:lineRule="auto"/>
      </w:pPr>
      <w:r>
        <w:t>If the jury must decide whether a particular individual was the plaintiff’s supervisor, the definition that appears in the last paragraph of Instruction 50.5 should be inserted at the end of this instruction.</w:t>
      </w:r>
    </w:p>
    <w:p w:rsidR="00B63254" w:rsidRDefault="00B63254" w:rsidP="00B63254">
      <w:pPr>
        <w:pStyle w:val="BodyText2"/>
        <w:spacing w:line="240" w:lineRule="auto"/>
      </w:pPr>
    </w:p>
    <w:p w:rsidR="00CD6CAB" w:rsidRDefault="00CD6CAB" w:rsidP="00B63254">
      <w:pPr>
        <w:pStyle w:val="BodyText2"/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Comment</w:t>
      </w:r>
    </w:p>
    <w:p w:rsidR="00B63254" w:rsidRDefault="00B63254" w:rsidP="00B63254">
      <w:pPr>
        <w:pStyle w:val="BodyText2"/>
        <w:spacing w:line="240" w:lineRule="auto"/>
        <w:jc w:val="center"/>
      </w:pPr>
    </w:p>
    <w:p w:rsidR="00CD6CAB" w:rsidRDefault="00CD6CAB">
      <w:pPr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 xml:space="preserve">This instruction is adapted from the one given in </w:t>
      </w:r>
      <w:r>
        <w:rPr>
          <w:rFonts w:ascii="Bookman Old Style" w:hAnsi="Bookman Old Style" w:cs="Courier New"/>
          <w:sz w:val="26"/>
          <w:u w:val="single"/>
        </w:rPr>
        <w:t>Norcon, Inc. v. Kotowski</w:t>
      </w:r>
      <w:r>
        <w:rPr>
          <w:rFonts w:ascii="Bookman Old Style" w:hAnsi="Bookman Old Style" w:cs="Courier New"/>
          <w:sz w:val="26"/>
        </w:rPr>
        <w:t>, 971 P.2d 158, 171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 w:cs="Courier New"/>
              <w:sz w:val="26"/>
            </w:rPr>
            <w:t>Alaska</w:t>
          </w:r>
        </w:smartTag>
      </w:smartTag>
      <w:r>
        <w:rPr>
          <w:rFonts w:ascii="Bookman Old Style" w:hAnsi="Bookman Old Style" w:cs="Courier New"/>
          <w:sz w:val="26"/>
        </w:rPr>
        <w:t xml:space="preserve"> 1999). The elements of the claim are also discussed in </w:t>
      </w:r>
      <w:r>
        <w:rPr>
          <w:rFonts w:ascii="Bookman Old Style" w:hAnsi="Bookman Old Style" w:cs="Courier New"/>
          <w:sz w:val="26"/>
          <w:u w:val="single"/>
        </w:rPr>
        <w:t>VECO, Inc. v. Rosebrock</w:t>
      </w:r>
      <w:r>
        <w:rPr>
          <w:rFonts w:ascii="Bookman Old Style" w:hAnsi="Bookman Old Style" w:cs="Courier New"/>
          <w:sz w:val="26"/>
        </w:rPr>
        <w:t>, 970 P.2d 906, 910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 w:cs="Courier New"/>
              <w:sz w:val="26"/>
            </w:rPr>
            <w:t>Alaska</w:t>
          </w:r>
        </w:smartTag>
      </w:smartTag>
      <w:r>
        <w:rPr>
          <w:rFonts w:ascii="Bookman Old Style" w:hAnsi="Bookman Old Style" w:cs="Courier New"/>
          <w:sz w:val="26"/>
        </w:rPr>
        <w:t xml:space="preserve"> 1999). </w:t>
      </w:r>
    </w:p>
    <w:sectPr w:rsidR="00CD6C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6A07">
      <w:r>
        <w:separator/>
      </w:r>
    </w:p>
  </w:endnote>
  <w:endnote w:type="continuationSeparator" w:id="0">
    <w:p w:rsidR="00000000" w:rsidRDefault="002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AB" w:rsidRDefault="00CD6CAB">
    <w:pPr>
      <w:spacing w:line="240" w:lineRule="exact"/>
    </w:pPr>
  </w:p>
  <w:p w:rsidR="00CD6CAB" w:rsidRDefault="00F665CC">
    <w:pPr>
      <w:framePr w:w="9361" w:wrap="notBeside" w:vAnchor="text" w:hAnchor="text" w:x="1" w:y="1"/>
      <w:rPr>
        <w:rFonts w:ascii="Bookman Old Style" w:hAnsi="Bookman Old Style"/>
      </w:rPr>
    </w:pPr>
    <w:r>
      <w:rPr>
        <w:rFonts w:ascii="Bookman Old Style" w:hAnsi="Bookman Old Style"/>
      </w:rPr>
      <w:t xml:space="preserve">Added </w:t>
    </w:r>
    <w:r w:rsidR="00CD6CAB">
      <w:rPr>
        <w:rFonts w:ascii="Bookman Old Style" w:hAnsi="Bookman Old Style"/>
      </w:rPr>
      <w:t xml:space="preserve">2004 – Page </w:t>
    </w:r>
    <w:r w:rsidR="00CD6CAB">
      <w:rPr>
        <w:rStyle w:val="PageNumber"/>
        <w:rFonts w:ascii="Bookman Old Style" w:hAnsi="Bookman Old Style"/>
      </w:rPr>
      <w:fldChar w:fldCharType="begin"/>
    </w:r>
    <w:r w:rsidR="00CD6CAB">
      <w:rPr>
        <w:rStyle w:val="PageNumber"/>
        <w:rFonts w:ascii="Bookman Old Style" w:hAnsi="Bookman Old Style"/>
      </w:rPr>
      <w:instrText xml:space="preserve"> PAGE </w:instrText>
    </w:r>
    <w:r w:rsidR="00CD6CAB">
      <w:rPr>
        <w:rStyle w:val="PageNumber"/>
        <w:rFonts w:ascii="Bookman Old Style" w:hAnsi="Bookman Old Style"/>
      </w:rPr>
      <w:fldChar w:fldCharType="separate"/>
    </w:r>
    <w:r w:rsidR="00E85F05">
      <w:rPr>
        <w:rStyle w:val="PageNumber"/>
        <w:rFonts w:ascii="Bookman Old Style" w:hAnsi="Bookman Old Style"/>
        <w:noProof/>
      </w:rPr>
      <w:t>1</w:t>
    </w:r>
    <w:r w:rsidR="00CD6CAB">
      <w:rPr>
        <w:rStyle w:val="PageNumber"/>
        <w:rFonts w:ascii="Bookman Old Style" w:hAnsi="Bookman Old Style"/>
      </w:rPr>
      <w:fldChar w:fldCharType="end"/>
    </w:r>
    <w:r w:rsidR="00CD6CAB">
      <w:rPr>
        <w:rStyle w:val="PageNumber"/>
        <w:rFonts w:ascii="Bookman Old Style" w:hAnsi="Bookman Old Style"/>
      </w:rPr>
      <w:t xml:space="preserve"> of </w:t>
    </w:r>
    <w:r w:rsidR="00CD6CAB">
      <w:rPr>
        <w:rStyle w:val="PageNumber"/>
        <w:rFonts w:ascii="Bookman Old Style" w:hAnsi="Bookman Old Style"/>
      </w:rPr>
      <w:fldChar w:fldCharType="begin"/>
    </w:r>
    <w:r w:rsidR="00CD6CAB">
      <w:rPr>
        <w:rStyle w:val="PageNumber"/>
        <w:rFonts w:ascii="Bookman Old Style" w:hAnsi="Bookman Old Style"/>
      </w:rPr>
      <w:instrText xml:space="preserve"> NUMPAGES </w:instrText>
    </w:r>
    <w:r w:rsidR="00CD6CAB">
      <w:rPr>
        <w:rStyle w:val="PageNumber"/>
        <w:rFonts w:ascii="Bookman Old Style" w:hAnsi="Bookman Old Style"/>
      </w:rPr>
      <w:fldChar w:fldCharType="separate"/>
    </w:r>
    <w:r w:rsidR="00E85F05">
      <w:rPr>
        <w:rStyle w:val="PageNumber"/>
        <w:rFonts w:ascii="Bookman Old Style" w:hAnsi="Bookman Old Style"/>
        <w:noProof/>
      </w:rPr>
      <w:t>2</w:t>
    </w:r>
    <w:r w:rsidR="00CD6CAB">
      <w:rPr>
        <w:rStyle w:val="PageNumber"/>
        <w:rFonts w:ascii="Bookman Old Style" w:hAnsi="Bookman Old Style"/>
      </w:rPr>
      <w:fldChar w:fldCharType="end"/>
    </w:r>
  </w:p>
  <w:p w:rsidR="00CD6CAB" w:rsidRDefault="00CD6C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6A07">
      <w:r>
        <w:separator/>
      </w:r>
    </w:p>
  </w:footnote>
  <w:footnote w:type="continuationSeparator" w:id="0">
    <w:p w:rsidR="00000000" w:rsidRDefault="002F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AB" w:rsidRDefault="005D0637">
    <w:pPr>
      <w:pStyle w:val="Header"/>
      <w:jc w:val="right"/>
      <w:rPr>
        <w:rFonts w:ascii="Bookman Old Style" w:hAnsi="Bookman Old Style"/>
        <w:b/>
        <w:bCs/>
        <w:sz w:val="26"/>
      </w:rPr>
    </w:pPr>
    <w:r>
      <w:rPr>
        <w:rFonts w:ascii="Bookman Old Style" w:hAnsi="Bookman Old Style"/>
        <w:b/>
        <w:bCs/>
        <w:sz w:val="26"/>
      </w:rPr>
      <w:t>09</w:t>
    </w:r>
    <w:r w:rsidR="00CD6CAB">
      <w:rPr>
        <w:rFonts w:ascii="Bookman Old Style" w:hAnsi="Bookman Old Style"/>
        <w:b/>
        <w:bCs/>
        <w:sz w:val="26"/>
      </w:rPr>
      <w:t>.</w:t>
    </w:r>
    <w:r>
      <w:rPr>
        <w:rFonts w:ascii="Bookman Old Style" w:hAnsi="Bookman Old Style"/>
        <w:b/>
        <w:bCs/>
        <w:sz w:val="26"/>
      </w:rPr>
      <w:t>0</w:t>
    </w:r>
    <w:r w:rsidR="00CD6CAB">
      <w:rPr>
        <w:rFonts w:ascii="Bookman Old Style" w:hAnsi="Bookman Old Style"/>
        <w:b/>
        <w:bCs/>
        <w:sz w:val="26"/>
      </w:rPr>
      <w:t>6</w:t>
    </w:r>
  </w:p>
  <w:p w:rsidR="00CD6CAB" w:rsidRDefault="00CD6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37"/>
    <w:rsid w:val="00184A92"/>
    <w:rsid w:val="002F6A07"/>
    <w:rsid w:val="005D0637"/>
    <w:rsid w:val="007B045B"/>
    <w:rsid w:val="00B63254"/>
    <w:rsid w:val="00CD6CAB"/>
    <w:rsid w:val="00E85F05"/>
    <w:rsid w:val="00F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480" w:lineRule="auto"/>
      <w:ind w:hanging="720"/>
      <w:jc w:val="both"/>
    </w:pPr>
    <w:rPr>
      <w:rFonts w:ascii="Courier New" w:hAnsi="Courier New" w:cs="Courier New"/>
    </w:rPr>
  </w:style>
  <w:style w:type="paragraph" w:styleId="BodyText">
    <w:name w:val="Body Text"/>
    <w:basedOn w:val="Normal"/>
    <w:pPr>
      <w:spacing w:line="480" w:lineRule="auto"/>
      <w:jc w:val="both"/>
    </w:pPr>
    <w:rPr>
      <w:rFonts w:ascii="Courier New" w:hAnsi="Courier New" w:cs="Courier New"/>
    </w:rPr>
  </w:style>
  <w:style w:type="paragraph" w:styleId="BodyText2">
    <w:name w:val="Body Text 2"/>
    <w:basedOn w:val="Normal"/>
    <w:pPr>
      <w:spacing w:line="480" w:lineRule="auto"/>
      <w:jc w:val="both"/>
    </w:pPr>
    <w:rPr>
      <w:rFonts w:ascii="Bookman Old Style" w:hAnsi="Bookman Old Style" w:cs="Courier New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480" w:lineRule="auto"/>
      <w:ind w:hanging="720"/>
      <w:jc w:val="both"/>
    </w:pPr>
    <w:rPr>
      <w:rFonts w:ascii="Courier New" w:hAnsi="Courier New" w:cs="Courier New"/>
    </w:rPr>
  </w:style>
  <w:style w:type="paragraph" w:styleId="BodyText">
    <w:name w:val="Body Text"/>
    <w:basedOn w:val="Normal"/>
    <w:pPr>
      <w:spacing w:line="480" w:lineRule="auto"/>
      <w:jc w:val="both"/>
    </w:pPr>
    <w:rPr>
      <w:rFonts w:ascii="Courier New" w:hAnsi="Courier New" w:cs="Courier New"/>
    </w:rPr>
  </w:style>
  <w:style w:type="paragraph" w:styleId="BodyText2">
    <w:name w:val="Body Text 2"/>
    <w:basedOn w:val="Normal"/>
    <w:pPr>
      <w:spacing w:line="480" w:lineRule="auto"/>
      <w:jc w:val="both"/>
    </w:pPr>
    <w:rPr>
      <w:rFonts w:ascii="Bookman Old Style" w:hAnsi="Bookman Old Style" w:cs="Courier New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(March 10, 2004 Revised Version)</vt:lpstr>
    </vt:vector>
  </TitlesOfParts>
  <Company>Alaska Court System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(March 10, 2004 Revised Version)</dc:title>
  <dc:subject/>
  <dc:creator>cjohnson</dc:creator>
  <cp:keywords/>
  <dc:description/>
  <cp:lastModifiedBy>Michael Merrington</cp:lastModifiedBy>
  <cp:revision>3</cp:revision>
  <cp:lastPrinted>2004-08-13T17:03:00Z</cp:lastPrinted>
  <dcterms:created xsi:type="dcterms:W3CDTF">2017-04-04T18:49:00Z</dcterms:created>
  <dcterms:modified xsi:type="dcterms:W3CDTF">2017-04-04T18:49:00Z</dcterms:modified>
</cp:coreProperties>
</file>