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08" w:rsidRDefault="00DA0B9F" w:rsidP="003E3432">
      <w:pPr>
        <w:tabs>
          <w:tab w:val="left" w:pos="720"/>
          <w:tab w:val="left" w:pos="1440"/>
          <w:tab w:val="center" w:pos="4680"/>
        </w:tabs>
        <w:ind w:left="1440" w:hanging="1440"/>
        <w:jc w:val="both"/>
        <w:rPr>
          <w:rFonts w:ascii="Bookman Old Style" w:hAnsi="Bookman Old Style" w:cs="Courier New"/>
          <w:sz w:val="26"/>
        </w:rPr>
      </w:pPr>
      <w:bookmarkStart w:id="0" w:name="_GoBack"/>
      <w:bookmarkEnd w:id="0"/>
      <w:r>
        <w:rPr>
          <w:rFonts w:ascii="Bookman Old Style" w:hAnsi="Bookman Old Style" w:cs="Courier New"/>
          <w:b/>
          <w:bCs/>
          <w:sz w:val="26"/>
        </w:rPr>
        <w:t>09.07</w:t>
      </w:r>
      <w:r w:rsidR="007B2408">
        <w:rPr>
          <w:rFonts w:ascii="Bookman Old Style" w:hAnsi="Bookman Old Style" w:cs="Courier New"/>
          <w:sz w:val="26"/>
        </w:rPr>
        <w:tab/>
      </w:r>
      <w:r w:rsidR="003E3432">
        <w:rPr>
          <w:rFonts w:ascii="Bookman Old Style" w:hAnsi="Bookman Old Style" w:cs="Courier New"/>
          <w:b/>
          <w:sz w:val="26"/>
        </w:rPr>
        <w:t xml:space="preserve">EMPLOYER’S LIABILITY FOR </w:t>
      </w:r>
      <w:r w:rsidR="007B2408">
        <w:rPr>
          <w:rFonts w:ascii="Bookman Old Style" w:hAnsi="Bookman Old Style" w:cs="Courier New"/>
          <w:b/>
          <w:bCs/>
          <w:sz w:val="26"/>
        </w:rPr>
        <w:t>SEXUAL HARASSMENT:  REASONABLE CARE DEFENSE</w:t>
      </w:r>
    </w:p>
    <w:p w:rsidR="007B2408" w:rsidRDefault="007B2408">
      <w:pPr>
        <w:jc w:val="both"/>
        <w:rPr>
          <w:rFonts w:ascii="Bookman Old Style" w:hAnsi="Bookman Old Style" w:cs="Courier New"/>
          <w:sz w:val="26"/>
        </w:rPr>
      </w:pPr>
    </w:p>
    <w:p w:rsidR="007B2408" w:rsidRDefault="007B2408">
      <w:pPr>
        <w:spacing w:line="360" w:lineRule="auto"/>
        <w:jc w:val="both"/>
        <w:rPr>
          <w:rFonts w:ascii="Bookman Old Style" w:hAnsi="Bookman Old Style" w:cs="Courier New"/>
          <w:sz w:val="26"/>
        </w:rPr>
      </w:pPr>
      <w:r>
        <w:rPr>
          <w:rFonts w:ascii="Bookman Old Style" w:hAnsi="Bookman Old Style" w:cs="Courier New"/>
          <w:sz w:val="26"/>
        </w:rPr>
        <w:t>Even if you find all elements of the plaintiff’s claim of sexual harassment to exist, [the employer] cannot be held liable for sexual harassment if you find that it is more likely true than not true that:</w:t>
      </w:r>
    </w:p>
    <w:p w:rsidR="007B2408" w:rsidRDefault="007B2408">
      <w:pPr>
        <w:pStyle w:val="BodyTextIndent2"/>
        <w:spacing w:line="360" w:lineRule="auto"/>
      </w:pPr>
    </w:p>
    <w:p w:rsidR="007B2408" w:rsidRDefault="007B2408">
      <w:pPr>
        <w:pStyle w:val="BodyTextIndent2"/>
        <w:spacing w:line="360" w:lineRule="auto"/>
      </w:pPr>
      <w:r>
        <w:t>(1)</w:t>
      </w:r>
      <w:r>
        <w:tab/>
        <w:t xml:space="preserve">[the employer] exercised reasonable care to prevent and to correct promptly </w:t>
      </w:r>
      <w:r w:rsidR="00C0402E">
        <w:t xml:space="preserve">the </w:t>
      </w:r>
      <w:r>
        <w:t>sexual harassment; and</w:t>
      </w:r>
    </w:p>
    <w:p w:rsidR="007B2408" w:rsidRDefault="007B2408">
      <w:pPr>
        <w:pStyle w:val="BodyTextIndent2"/>
        <w:spacing w:line="360" w:lineRule="auto"/>
      </w:pPr>
    </w:p>
    <w:p w:rsidR="007B2408" w:rsidRDefault="007B2408">
      <w:pPr>
        <w:pStyle w:val="BodyTextIndent"/>
        <w:spacing w:line="360" w:lineRule="auto"/>
        <w:ind w:left="720" w:hanging="720"/>
        <w:jc w:val="both"/>
      </w:pPr>
      <w:r>
        <w:t xml:space="preserve">(2) </w:t>
      </w:r>
      <w:r>
        <w:tab/>
        <w:t xml:space="preserve">the plaintiff unreasonably failed to take advantage of </w:t>
      </w:r>
      <w:r w:rsidR="00C0402E">
        <w:t xml:space="preserve">the </w:t>
      </w:r>
      <w:r>
        <w:t>preventive or corrective opportunities that [the employer] provided.</w:t>
      </w:r>
    </w:p>
    <w:p w:rsidR="007B2408" w:rsidRDefault="007B2408">
      <w:pPr>
        <w:pStyle w:val="BodyTextIndent"/>
        <w:spacing w:line="360" w:lineRule="auto"/>
        <w:ind w:left="720" w:hanging="720"/>
        <w:jc w:val="both"/>
      </w:pPr>
    </w:p>
    <w:p w:rsidR="007B2408" w:rsidRDefault="007B2408">
      <w:pPr>
        <w:spacing w:line="360" w:lineRule="auto"/>
        <w:jc w:val="both"/>
        <w:rPr>
          <w:rFonts w:ascii="Bookman Old Style" w:hAnsi="Bookman Old Style" w:cs="Courier New"/>
          <w:sz w:val="26"/>
        </w:rPr>
      </w:pPr>
      <w:r>
        <w:rPr>
          <w:rFonts w:ascii="Bookman Old Style" w:hAnsi="Bookman Old Style" w:cs="Courier New"/>
          <w:sz w:val="26"/>
        </w:rPr>
        <w:t>If you find that [the employer] has proven both of these elements, then you must find for [the employer] on the plaintiff’s claims.  If you find that [the employer] has failed to prove either of these elements, then you should disregard this defense when considering the plaintiff’s claims.</w:t>
      </w:r>
    </w:p>
    <w:p w:rsidR="007B2408" w:rsidRDefault="007B2408">
      <w:pPr>
        <w:jc w:val="both"/>
        <w:rPr>
          <w:rFonts w:ascii="Bookman Old Style" w:hAnsi="Bookman Old Style" w:cs="Courier New"/>
          <w:sz w:val="26"/>
        </w:rPr>
      </w:pPr>
    </w:p>
    <w:p w:rsidR="007B2408" w:rsidRDefault="007B2408">
      <w:pPr>
        <w:tabs>
          <w:tab w:val="center" w:pos="4680"/>
        </w:tabs>
        <w:jc w:val="both"/>
        <w:rPr>
          <w:rFonts w:ascii="Bookman Old Style" w:hAnsi="Bookman Old Style" w:cs="Courier New"/>
          <w:b/>
          <w:bCs/>
          <w:sz w:val="26"/>
        </w:rPr>
      </w:pPr>
      <w:r>
        <w:rPr>
          <w:rFonts w:ascii="Bookman Old Style" w:hAnsi="Bookman Old Style" w:cs="Courier New"/>
          <w:sz w:val="26"/>
        </w:rPr>
        <w:tab/>
      </w:r>
      <w:r>
        <w:rPr>
          <w:rFonts w:ascii="Bookman Old Style" w:hAnsi="Bookman Old Style" w:cs="Courier New"/>
          <w:b/>
          <w:bCs/>
          <w:sz w:val="26"/>
        </w:rPr>
        <w:t>Comment</w:t>
      </w:r>
    </w:p>
    <w:p w:rsidR="007B2408" w:rsidRDefault="007B2408">
      <w:pPr>
        <w:tabs>
          <w:tab w:val="center" w:pos="4680"/>
        </w:tabs>
        <w:jc w:val="both"/>
        <w:rPr>
          <w:rFonts w:ascii="Bookman Old Style" w:hAnsi="Bookman Old Style" w:cs="Courier New"/>
          <w:sz w:val="26"/>
        </w:rPr>
      </w:pPr>
    </w:p>
    <w:p w:rsidR="007B2408" w:rsidRDefault="007B2408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 w:cs="Courier New"/>
          <w:sz w:val="26"/>
        </w:rPr>
        <w:t xml:space="preserve">This instruction is based on the affirmative defense recognized in </w:t>
      </w:r>
      <w:r>
        <w:rPr>
          <w:rFonts w:ascii="Bookman Old Style" w:hAnsi="Bookman Old Style"/>
          <w:sz w:val="26"/>
          <w:u w:val="single"/>
        </w:rPr>
        <w:t>Burlington Industries, Inc. v. Ellerth</w:t>
      </w:r>
      <w:r>
        <w:rPr>
          <w:rFonts w:ascii="Bookman Old Style" w:hAnsi="Bookman Old Style"/>
          <w:sz w:val="26"/>
        </w:rPr>
        <w:t xml:space="preserve">, 524 U.S. 742 (1998), and </w:t>
      </w:r>
      <w:r>
        <w:rPr>
          <w:rFonts w:ascii="Bookman Old Style" w:hAnsi="Bookman Old Style"/>
          <w:sz w:val="26"/>
          <w:u w:val="single"/>
        </w:rPr>
        <w:t>Faragher v. City of Boca Raton</w:t>
      </w:r>
      <w:r>
        <w:rPr>
          <w:rFonts w:ascii="Bookman Old Style" w:hAnsi="Bookman Old Style"/>
          <w:sz w:val="26"/>
        </w:rPr>
        <w:t xml:space="preserve">, 524 U.S. 775 (1998).  The Alaska Supreme Court has not decided if this affirmative defense is available under </w:t>
      </w:r>
      <w:smartTag w:uri="urn:schemas-microsoft-com:office:smarttags" w:element="State">
        <w:smartTag w:uri="urn:schemas-microsoft-com:office:smarttags" w:element="place">
          <w:r>
            <w:rPr>
              <w:rFonts w:ascii="Bookman Old Style" w:hAnsi="Bookman Old Style"/>
              <w:sz w:val="26"/>
            </w:rPr>
            <w:t>Alaska</w:t>
          </w:r>
        </w:smartTag>
      </w:smartTag>
      <w:r>
        <w:rPr>
          <w:rFonts w:ascii="Bookman Old Style" w:hAnsi="Bookman Old Style"/>
          <w:sz w:val="26"/>
        </w:rPr>
        <w:t xml:space="preserve"> law.  </w:t>
      </w:r>
      <w:r>
        <w:rPr>
          <w:rFonts w:ascii="Bookman Old Style" w:hAnsi="Bookman Old Style"/>
          <w:sz w:val="26"/>
          <w:u w:val="single"/>
        </w:rPr>
        <w:t>VECO</w:t>
      </w:r>
      <w:r w:rsidR="0074568D">
        <w:rPr>
          <w:rFonts w:ascii="Bookman Old Style" w:hAnsi="Bookman Old Style"/>
          <w:sz w:val="26"/>
          <w:u w:val="single"/>
        </w:rPr>
        <w:t xml:space="preserve">, Inc. v. </w:t>
      </w:r>
      <w:r w:rsidR="0074568D" w:rsidRPr="0074568D">
        <w:rPr>
          <w:rFonts w:ascii="Bookman Old Style" w:hAnsi="Bookman Old Style"/>
          <w:sz w:val="26"/>
          <w:u w:val="single"/>
        </w:rPr>
        <w:t>Rosebrock</w:t>
      </w:r>
      <w:r w:rsidR="0074568D">
        <w:rPr>
          <w:rFonts w:ascii="Bookman Old Style" w:hAnsi="Bookman Old Style"/>
          <w:sz w:val="26"/>
        </w:rPr>
        <w:t xml:space="preserve">, </w:t>
      </w:r>
      <w:r w:rsidRPr="0074568D">
        <w:rPr>
          <w:rFonts w:ascii="Bookman Old Style" w:hAnsi="Bookman Old Style"/>
          <w:sz w:val="26"/>
        </w:rPr>
        <w:t>970</w:t>
      </w:r>
      <w:r w:rsidR="00C0402E">
        <w:rPr>
          <w:rFonts w:ascii="Bookman Old Style" w:hAnsi="Bookman Old Style"/>
          <w:sz w:val="26"/>
        </w:rPr>
        <w:t xml:space="preserve"> P.2d 906, 914 n.</w:t>
      </w:r>
      <w:r>
        <w:rPr>
          <w:rFonts w:ascii="Bookman Old Style" w:hAnsi="Bookman Old Style"/>
          <w:sz w:val="26"/>
        </w:rPr>
        <w:t>18</w:t>
      </w:r>
      <w:r w:rsidR="0074568D">
        <w:rPr>
          <w:rFonts w:ascii="Bookman Old Style" w:hAnsi="Bookman Old Style"/>
          <w:sz w:val="26"/>
        </w:rPr>
        <w:t xml:space="preserve"> (</w:t>
      </w:r>
      <w:smartTag w:uri="urn:schemas-microsoft-com:office:smarttags" w:element="State">
        <w:smartTag w:uri="urn:schemas-microsoft-com:office:smarttags" w:element="place">
          <w:r w:rsidR="0074568D">
            <w:rPr>
              <w:rFonts w:ascii="Bookman Old Style" w:hAnsi="Bookman Old Style"/>
              <w:sz w:val="26"/>
            </w:rPr>
            <w:t>Alaska</w:t>
          </w:r>
        </w:smartTag>
      </w:smartTag>
      <w:r w:rsidR="0074568D">
        <w:rPr>
          <w:rFonts w:ascii="Bookman Old Style" w:hAnsi="Bookman Old Style"/>
          <w:sz w:val="26"/>
        </w:rPr>
        <w:t xml:space="preserve"> 1999)</w:t>
      </w:r>
      <w:r>
        <w:rPr>
          <w:rFonts w:ascii="Bookman Old Style" w:hAnsi="Bookman Old Style"/>
          <w:sz w:val="26"/>
        </w:rPr>
        <w:t>.</w:t>
      </w:r>
    </w:p>
    <w:p w:rsidR="007B2408" w:rsidRDefault="007B2408">
      <w:pPr>
        <w:jc w:val="both"/>
        <w:rPr>
          <w:rFonts w:ascii="Bookman Old Style" w:hAnsi="Bookman Old Style"/>
          <w:sz w:val="26"/>
        </w:rPr>
      </w:pPr>
    </w:p>
    <w:sectPr w:rsidR="007B2408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77E77">
      <w:r>
        <w:separator/>
      </w:r>
    </w:p>
  </w:endnote>
  <w:endnote w:type="continuationSeparator" w:id="0">
    <w:p w:rsidR="00000000" w:rsidRDefault="0037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408" w:rsidRDefault="001D499B">
    <w:pPr>
      <w:pStyle w:val="Footer"/>
      <w:rPr>
        <w:rFonts w:ascii="Bookman Old Style" w:hAnsi="Bookman Old Style"/>
      </w:rPr>
    </w:pPr>
    <w:r>
      <w:rPr>
        <w:rFonts w:ascii="Bookman Old Style" w:hAnsi="Bookman Old Style"/>
      </w:rPr>
      <w:t xml:space="preserve">Added </w:t>
    </w:r>
    <w:r w:rsidR="007B2408">
      <w:rPr>
        <w:rFonts w:ascii="Bookman Old Style" w:hAnsi="Bookman Old Style"/>
      </w:rPr>
      <w:t xml:space="preserve">2004 – Page </w:t>
    </w:r>
    <w:r w:rsidR="007B2408">
      <w:rPr>
        <w:rStyle w:val="PageNumber"/>
        <w:rFonts w:ascii="Bookman Old Style" w:hAnsi="Bookman Old Style"/>
      </w:rPr>
      <w:fldChar w:fldCharType="begin"/>
    </w:r>
    <w:r w:rsidR="007B2408">
      <w:rPr>
        <w:rStyle w:val="PageNumber"/>
        <w:rFonts w:ascii="Bookman Old Style" w:hAnsi="Bookman Old Style"/>
      </w:rPr>
      <w:instrText xml:space="preserve"> PAGE </w:instrText>
    </w:r>
    <w:r w:rsidR="007B2408">
      <w:rPr>
        <w:rStyle w:val="PageNumber"/>
        <w:rFonts w:ascii="Bookman Old Style" w:hAnsi="Bookman Old Style"/>
      </w:rPr>
      <w:fldChar w:fldCharType="separate"/>
    </w:r>
    <w:r w:rsidR="000B3136">
      <w:rPr>
        <w:rStyle w:val="PageNumber"/>
        <w:rFonts w:ascii="Bookman Old Style" w:hAnsi="Bookman Old Style"/>
        <w:noProof/>
      </w:rPr>
      <w:t>1</w:t>
    </w:r>
    <w:r w:rsidR="007B2408">
      <w:rPr>
        <w:rStyle w:val="PageNumber"/>
        <w:rFonts w:ascii="Bookman Old Style" w:hAnsi="Bookman Old Style"/>
      </w:rPr>
      <w:fldChar w:fldCharType="end"/>
    </w:r>
    <w:r w:rsidR="007B2408">
      <w:rPr>
        <w:rStyle w:val="PageNumber"/>
        <w:rFonts w:ascii="Bookman Old Style" w:hAnsi="Bookman Old Style"/>
      </w:rPr>
      <w:t xml:space="preserve"> of </w:t>
    </w:r>
    <w:r w:rsidR="007B2408">
      <w:rPr>
        <w:rStyle w:val="PageNumber"/>
        <w:rFonts w:ascii="Bookman Old Style" w:hAnsi="Bookman Old Style"/>
      </w:rPr>
      <w:fldChar w:fldCharType="begin"/>
    </w:r>
    <w:r w:rsidR="007B2408">
      <w:rPr>
        <w:rStyle w:val="PageNumber"/>
        <w:rFonts w:ascii="Bookman Old Style" w:hAnsi="Bookman Old Style"/>
      </w:rPr>
      <w:instrText xml:space="preserve"> NUMPAGES </w:instrText>
    </w:r>
    <w:r w:rsidR="007B2408">
      <w:rPr>
        <w:rStyle w:val="PageNumber"/>
        <w:rFonts w:ascii="Bookman Old Style" w:hAnsi="Bookman Old Style"/>
      </w:rPr>
      <w:fldChar w:fldCharType="separate"/>
    </w:r>
    <w:r w:rsidR="000B3136">
      <w:rPr>
        <w:rStyle w:val="PageNumber"/>
        <w:rFonts w:ascii="Bookman Old Style" w:hAnsi="Bookman Old Style"/>
        <w:noProof/>
      </w:rPr>
      <w:t>1</w:t>
    </w:r>
    <w:r w:rsidR="007B2408">
      <w:rPr>
        <w:rStyle w:val="PageNumber"/>
        <w:rFonts w:ascii="Bookman Old Style" w:hAnsi="Bookman Old Styl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77E77">
      <w:r>
        <w:separator/>
      </w:r>
    </w:p>
  </w:footnote>
  <w:footnote w:type="continuationSeparator" w:id="0">
    <w:p w:rsidR="00000000" w:rsidRDefault="00377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408" w:rsidRDefault="00DA0B9F">
    <w:pPr>
      <w:pStyle w:val="Header"/>
      <w:jc w:val="right"/>
      <w:rPr>
        <w:rFonts w:ascii="Bookman Old Style" w:hAnsi="Bookman Old Style"/>
        <w:b/>
        <w:bCs/>
        <w:sz w:val="26"/>
      </w:rPr>
    </w:pPr>
    <w:r>
      <w:rPr>
        <w:rFonts w:ascii="Bookman Old Style" w:hAnsi="Bookman Old Style"/>
        <w:b/>
        <w:bCs/>
        <w:sz w:val="26"/>
      </w:rPr>
      <w:t>09.07</w:t>
    </w:r>
  </w:p>
  <w:p w:rsidR="007B2408" w:rsidRDefault="007B24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9F"/>
    <w:rsid w:val="000B3136"/>
    <w:rsid w:val="001D499B"/>
    <w:rsid w:val="00314A04"/>
    <w:rsid w:val="00377E77"/>
    <w:rsid w:val="003E3432"/>
    <w:rsid w:val="0074568D"/>
    <w:rsid w:val="007B2408"/>
    <w:rsid w:val="00C0402E"/>
    <w:rsid w:val="00DA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spacing w:line="480" w:lineRule="auto"/>
      <w:ind w:firstLine="720"/>
    </w:pPr>
    <w:rPr>
      <w:rFonts w:ascii="Bookman Old Style" w:hAnsi="Bookman Old Style" w:cs="Courier New"/>
      <w:sz w:val="26"/>
    </w:rPr>
  </w:style>
  <w:style w:type="paragraph" w:styleId="BodyTextIndent2">
    <w:name w:val="Body Text Indent 2"/>
    <w:basedOn w:val="Normal"/>
    <w:pPr>
      <w:tabs>
        <w:tab w:val="left" w:pos="720"/>
      </w:tabs>
      <w:ind w:left="720" w:hanging="720"/>
      <w:jc w:val="both"/>
    </w:pPr>
    <w:rPr>
      <w:rFonts w:ascii="Bookman Old Style" w:hAnsi="Bookman Old Style" w:cs="Courier New"/>
      <w:sz w:val="2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spacing w:line="480" w:lineRule="auto"/>
      <w:ind w:firstLine="720"/>
    </w:pPr>
    <w:rPr>
      <w:rFonts w:ascii="Bookman Old Style" w:hAnsi="Bookman Old Style" w:cs="Courier New"/>
      <w:sz w:val="26"/>
    </w:rPr>
  </w:style>
  <w:style w:type="paragraph" w:styleId="BodyTextIndent2">
    <w:name w:val="Body Text Indent 2"/>
    <w:basedOn w:val="Normal"/>
    <w:pPr>
      <w:tabs>
        <w:tab w:val="left" w:pos="720"/>
      </w:tabs>
      <w:ind w:left="720" w:hanging="720"/>
      <w:jc w:val="both"/>
    </w:pPr>
    <w:rPr>
      <w:rFonts w:ascii="Bookman Old Style" w:hAnsi="Bookman Old Style" w:cs="Courier New"/>
      <w:sz w:val="2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</vt:lpstr>
    </vt:vector>
  </TitlesOfParts>
  <Company>Alaska Court System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</dc:title>
  <dc:subject/>
  <dc:creator>cjohnson</dc:creator>
  <cp:keywords/>
  <dc:description/>
  <cp:lastModifiedBy>Michael Merrington</cp:lastModifiedBy>
  <cp:revision>3</cp:revision>
  <cp:lastPrinted>2004-08-13T17:03:00Z</cp:lastPrinted>
  <dcterms:created xsi:type="dcterms:W3CDTF">2017-04-04T18:49:00Z</dcterms:created>
  <dcterms:modified xsi:type="dcterms:W3CDTF">2017-04-04T18:49:00Z</dcterms:modified>
</cp:coreProperties>
</file>