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106226" w14:textId="1100061B" w:rsidR="00485F1E" w:rsidRDefault="00C15ED2" w:rsidP="00485F1E">
      <w:pPr>
        <w:rPr>
          <w:b/>
          <w:sz w:val="28"/>
          <w:szCs w:val="28"/>
        </w:rPr>
      </w:pPr>
      <w:bookmarkStart w:id="0" w:name="_GoBack"/>
      <w:bookmarkEnd w:id="0"/>
      <w:r w:rsidRPr="00C15ED2">
        <w:rPr>
          <w:b/>
          <w:sz w:val="28"/>
          <w:szCs w:val="28"/>
        </w:rPr>
        <w:t>10.00</w:t>
      </w:r>
      <w:r w:rsidRPr="00C15ED2">
        <w:rPr>
          <w:b/>
          <w:sz w:val="28"/>
          <w:szCs w:val="28"/>
        </w:rPr>
        <w:tab/>
      </w:r>
      <w:r w:rsidR="00477AA7">
        <w:rPr>
          <w:b/>
          <w:sz w:val="28"/>
          <w:szCs w:val="28"/>
        </w:rPr>
        <w:tab/>
      </w:r>
      <w:r w:rsidRPr="00C15ED2">
        <w:rPr>
          <w:b/>
          <w:sz w:val="28"/>
          <w:szCs w:val="28"/>
        </w:rPr>
        <w:t xml:space="preserve">CONSUMER PROTECTION ACT </w:t>
      </w:r>
      <w:r>
        <w:rPr>
          <w:b/>
          <w:sz w:val="28"/>
          <w:szCs w:val="28"/>
        </w:rPr>
        <w:t>–</w:t>
      </w:r>
      <w:r w:rsidRPr="00C15ED2">
        <w:rPr>
          <w:b/>
          <w:sz w:val="28"/>
          <w:szCs w:val="28"/>
        </w:rPr>
        <w:t xml:space="preserve"> </w:t>
      </w:r>
      <w:r w:rsidR="00F97BFE" w:rsidRPr="00C15ED2">
        <w:rPr>
          <w:b/>
          <w:sz w:val="28"/>
          <w:szCs w:val="28"/>
        </w:rPr>
        <w:t>INTRODUCTION</w:t>
      </w:r>
    </w:p>
    <w:p w14:paraId="7B03B245" w14:textId="77777777" w:rsidR="00C15ED2" w:rsidRDefault="00C15ED2" w:rsidP="00485F1E">
      <w:pPr>
        <w:rPr>
          <w:b/>
          <w:sz w:val="28"/>
          <w:szCs w:val="28"/>
        </w:rPr>
      </w:pPr>
    </w:p>
    <w:p w14:paraId="2D29AA7F" w14:textId="77777777" w:rsidR="00C15ED2" w:rsidRPr="00C15ED2" w:rsidRDefault="00C15ED2" w:rsidP="00485F1E">
      <w:pPr>
        <w:rPr>
          <w:b/>
          <w:sz w:val="28"/>
          <w:szCs w:val="28"/>
        </w:rPr>
      </w:pPr>
    </w:p>
    <w:p w14:paraId="04924C89" w14:textId="17FEE946" w:rsidR="006C2DE3" w:rsidRPr="00C15ED2" w:rsidRDefault="00485F1E" w:rsidP="00C15ED2">
      <w:pPr>
        <w:spacing w:line="360" w:lineRule="auto"/>
        <w:jc w:val="both"/>
        <w:rPr>
          <w:sz w:val="28"/>
          <w:szCs w:val="28"/>
        </w:rPr>
      </w:pPr>
      <w:r w:rsidRPr="00C15ED2">
        <w:rPr>
          <w:sz w:val="28"/>
          <w:szCs w:val="28"/>
        </w:rPr>
        <w:t>The</w:t>
      </w:r>
      <w:r w:rsidR="00FC23CC">
        <w:rPr>
          <w:sz w:val="28"/>
          <w:szCs w:val="28"/>
        </w:rPr>
        <w:t xml:space="preserve"> </w:t>
      </w:r>
      <w:r w:rsidRPr="00C15ED2">
        <w:rPr>
          <w:sz w:val="28"/>
          <w:szCs w:val="28"/>
        </w:rPr>
        <w:t xml:space="preserve">instructions </w:t>
      </w:r>
      <w:r w:rsidR="00FC23CC">
        <w:rPr>
          <w:sz w:val="28"/>
          <w:szCs w:val="28"/>
        </w:rPr>
        <w:t xml:space="preserve">in Article 10 are intended for use in </w:t>
      </w:r>
      <w:r w:rsidRPr="00C15ED2">
        <w:rPr>
          <w:sz w:val="28"/>
          <w:szCs w:val="28"/>
        </w:rPr>
        <w:t xml:space="preserve">cases </w:t>
      </w:r>
      <w:r w:rsidR="007202AF">
        <w:rPr>
          <w:sz w:val="28"/>
          <w:szCs w:val="28"/>
        </w:rPr>
        <w:t>seeking damages under AS 45.50.531(a)</w:t>
      </w:r>
      <w:r w:rsidR="00FC23CC">
        <w:rPr>
          <w:sz w:val="28"/>
          <w:szCs w:val="28"/>
        </w:rPr>
        <w:t>.  AS 45.50.531(a) is</w:t>
      </w:r>
      <w:r w:rsidR="007202AF">
        <w:rPr>
          <w:sz w:val="28"/>
          <w:szCs w:val="28"/>
        </w:rPr>
        <w:t xml:space="preserve"> a provision of the </w:t>
      </w:r>
      <w:proofErr w:type="gramStart"/>
      <w:r w:rsidR="007202AF">
        <w:rPr>
          <w:sz w:val="28"/>
          <w:szCs w:val="28"/>
        </w:rPr>
        <w:t xml:space="preserve">Alaska </w:t>
      </w:r>
      <w:r w:rsidRPr="00C15ED2">
        <w:rPr>
          <w:sz w:val="28"/>
          <w:szCs w:val="28"/>
        </w:rPr>
        <w:t xml:space="preserve"> Unfair</w:t>
      </w:r>
      <w:proofErr w:type="gramEnd"/>
      <w:r w:rsidRPr="00C15ED2">
        <w:rPr>
          <w:sz w:val="28"/>
          <w:szCs w:val="28"/>
        </w:rPr>
        <w:t xml:space="preserve"> and Deceptive Trade Practices Act, AS 45.50.471 </w:t>
      </w:r>
      <w:r w:rsidRPr="00C15ED2">
        <w:rPr>
          <w:i/>
          <w:sz w:val="28"/>
          <w:szCs w:val="28"/>
        </w:rPr>
        <w:t>et seq.</w:t>
      </w:r>
      <w:r w:rsidRPr="00C15ED2">
        <w:rPr>
          <w:sz w:val="28"/>
          <w:szCs w:val="28"/>
        </w:rPr>
        <w:t>, commonly called the “Consumer Protection Act” (“CPA”).</w:t>
      </w:r>
      <w:r w:rsidR="007A6166" w:rsidRPr="00C15ED2">
        <w:rPr>
          <w:sz w:val="28"/>
          <w:szCs w:val="28"/>
        </w:rPr>
        <w:t xml:space="preserve">  </w:t>
      </w:r>
      <w:r w:rsidRPr="00C15ED2">
        <w:rPr>
          <w:sz w:val="28"/>
          <w:szCs w:val="28"/>
        </w:rPr>
        <w:t>The CPA</w:t>
      </w:r>
      <w:r w:rsidR="000807D5" w:rsidRPr="00C15ED2">
        <w:rPr>
          <w:sz w:val="28"/>
          <w:szCs w:val="28"/>
        </w:rPr>
        <w:t>,</w:t>
      </w:r>
      <w:r w:rsidRPr="00C15ED2">
        <w:rPr>
          <w:sz w:val="28"/>
          <w:szCs w:val="28"/>
        </w:rPr>
        <w:t xml:space="preserve"> enacted in </w:t>
      </w:r>
      <w:r w:rsidR="000807D5" w:rsidRPr="00C15ED2">
        <w:rPr>
          <w:sz w:val="28"/>
          <w:szCs w:val="28"/>
        </w:rPr>
        <w:t>1970, is Alaska’s principal consumer protection statute.  The CPA is modeled after the Federal Trade Commission (“FTC”) Act, 15 U.S.C. §</w:t>
      </w:r>
      <w:r w:rsidR="0028003A">
        <w:rPr>
          <w:sz w:val="28"/>
          <w:szCs w:val="28"/>
        </w:rPr>
        <w:t xml:space="preserve"> </w:t>
      </w:r>
      <w:r w:rsidR="000807D5" w:rsidRPr="00C15ED2">
        <w:rPr>
          <w:sz w:val="28"/>
          <w:szCs w:val="28"/>
        </w:rPr>
        <w:t xml:space="preserve">45.  </w:t>
      </w:r>
      <w:r w:rsidR="006C2DE3" w:rsidRPr="00C15ED2">
        <w:rPr>
          <w:sz w:val="28"/>
          <w:szCs w:val="28"/>
        </w:rPr>
        <w:t>A specific provision in the CPA provides that “due consideration” should be given to the FTC Act when interpreting the CPA</w:t>
      </w:r>
      <w:r w:rsidR="00635953" w:rsidRPr="00C15ED2">
        <w:rPr>
          <w:sz w:val="28"/>
          <w:szCs w:val="28"/>
        </w:rPr>
        <w:t>.</w:t>
      </w:r>
      <w:r w:rsidR="006C2DE3" w:rsidRPr="00C15ED2">
        <w:rPr>
          <w:sz w:val="28"/>
          <w:szCs w:val="28"/>
        </w:rPr>
        <w:t xml:space="preserve">  </w:t>
      </w:r>
      <w:proofErr w:type="gramStart"/>
      <w:r w:rsidR="006C2DE3" w:rsidRPr="00C15ED2">
        <w:rPr>
          <w:sz w:val="28"/>
          <w:szCs w:val="28"/>
        </w:rPr>
        <w:t>A</w:t>
      </w:r>
      <w:r w:rsidR="00635953" w:rsidRPr="00C15ED2">
        <w:rPr>
          <w:sz w:val="28"/>
          <w:szCs w:val="28"/>
        </w:rPr>
        <w:t>S</w:t>
      </w:r>
      <w:r w:rsidR="006C2DE3" w:rsidRPr="00C15ED2">
        <w:rPr>
          <w:sz w:val="28"/>
          <w:szCs w:val="28"/>
        </w:rPr>
        <w:t xml:space="preserve"> 45.50.545.</w:t>
      </w:r>
      <w:proofErr w:type="gramEnd"/>
      <w:r w:rsidR="006C2DE3" w:rsidRPr="00C15ED2">
        <w:rPr>
          <w:sz w:val="28"/>
          <w:szCs w:val="28"/>
        </w:rPr>
        <w:t xml:space="preserve">  </w:t>
      </w:r>
    </w:p>
    <w:p w14:paraId="7B8ED9A4" w14:textId="77777777" w:rsidR="006C2DE3" w:rsidRPr="00C15ED2" w:rsidRDefault="006C2DE3" w:rsidP="00C15ED2">
      <w:pPr>
        <w:spacing w:line="360" w:lineRule="auto"/>
        <w:jc w:val="both"/>
        <w:rPr>
          <w:sz w:val="28"/>
          <w:szCs w:val="28"/>
        </w:rPr>
      </w:pPr>
    </w:p>
    <w:p w14:paraId="3240596C" w14:textId="488A494E" w:rsidR="0017103E" w:rsidRPr="00C15ED2" w:rsidRDefault="000807D5" w:rsidP="00C15ED2">
      <w:pPr>
        <w:spacing w:line="360" w:lineRule="auto"/>
        <w:jc w:val="both"/>
        <w:rPr>
          <w:sz w:val="28"/>
          <w:szCs w:val="28"/>
        </w:rPr>
      </w:pPr>
      <w:r w:rsidRPr="00C15ED2">
        <w:rPr>
          <w:sz w:val="28"/>
          <w:szCs w:val="28"/>
        </w:rPr>
        <w:t>The CPA broadly prohibits “unfair</w:t>
      </w:r>
      <w:r w:rsidR="00864792" w:rsidRPr="00C15ED2">
        <w:rPr>
          <w:sz w:val="28"/>
          <w:szCs w:val="28"/>
        </w:rPr>
        <w:t xml:space="preserve"> methods of competition</w:t>
      </w:r>
      <w:r w:rsidRPr="00C15ED2">
        <w:rPr>
          <w:sz w:val="28"/>
          <w:szCs w:val="28"/>
        </w:rPr>
        <w:t xml:space="preserve"> and </w:t>
      </w:r>
      <w:r w:rsidR="00864792" w:rsidRPr="00C15ED2">
        <w:rPr>
          <w:sz w:val="28"/>
          <w:szCs w:val="28"/>
        </w:rPr>
        <w:t xml:space="preserve">unfair or </w:t>
      </w:r>
      <w:r w:rsidRPr="00C15ED2">
        <w:rPr>
          <w:sz w:val="28"/>
          <w:szCs w:val="28"/>
        </w:rPr>
        <w:t>deceptive acts or practices in the conduct of trade or commerce.”</w:t>
      </w:r>
      <w:r w:rsidR="00864792" w:rsidRPr="00C15ED2">
        <w:rPr>
          <w:sz w:val="28"/>
          <w:szCs w:val="28"/>
        </w:rPr>
        <w:t xml:space="preserve">  </w:t>
      </w:r>
      <w:proofErr w:type="gramStart"/>
      <w:r w:rsidR="00196EF1" w:rsidRPr="00C15ED2">
        <w:rPr>
          <w:sz w:val="28"/>
          <w:szCs w:val="28"/>
        </w:rPr>
        <w:t>AS 45.50.471(a).</w:t>
      </w:r>
      <w:proofErr w:type="gramEnd"/>
      <w:r w:rsidR="00196EF1" w:rsidRPr="00C15ED2">
        <w:rPr>
          <w:sz w:val="28"/>
          <w:szCs w:val="28"/>
        </w:rPr>
        <w:t xml:space="preserve">  </w:t>
      </w:r>
      <w:r w:rsidR="00864792" w:rsidRPr="00C15ED2">
        <w:rPr>
          <w:sz w:val="28"/>
          <w:szCs w:val="28"/>
        </w:rPr>
        <w:t xml:space="preserve">There are currently </w:t>
      </w:r>
      <w:r w:rsidR="00D24307" w:rsidRPr="00C15ED2">
        <w:rPr>
          <w:sz w:val="28"/>
          <w:szCs w:val="28"/>
        </w:rPr>
        <w:t xml:space="preserve">57 </w:t>
      </w:r>
      <w:r w:rsidR="00864792" w:rsidRPr="00C15ED2">
        <w:rPr>
          <w:sz w:val="28"/>
          <w:szCs w:val="28"/>
        </w:rPr>
        <w:t xml:space="preserve">specific practices identified in the CPA that are </w:t>
      </w:r>
      <w:r w:rsidR="00864792" w:rsidRPr="00C15ED2">
        <w:rPr>
          <w:i/>
          <w:sz w:val="28"/>
          <w:szCs w:val="28"/>
        </w:rPr>
        <w:t>per se</w:t>
      </w:r>
      <w:r w:rsidR="00864792" w:rsidRPr="00C15ED2">
        <w:rPr>
          <w:sz w:val="28"/>
          <w:szCs w:val="28"/>
        </w:rPr>
        <w:t xml:space="preserve"> violations of the CPA.  </w:t>
      </w:r>
      <w:proofErr w:type="gramStart"/>
      <w:r w:rsidR="0028003A">
        <w:rPr>
          <w:sz w:val="28"/>
          <w:szCs w:val="28"/>
        </w:rPr>
        <w:t>AS 45.50.471(b).</w:t>
      </w:r>
      <w:proofErr w:type="gramEnd"/>
      <w:r w:rsidR="0028003A">
        <w:rPr>
          <w:sz w:val="28"/>
          <w:szCs w:val="28"/>
        </w:rPr>
        <w:t xml:space="preserve">  </w:t>
      </w:r>
      <w:r w:rsidR="00864792" w:rsidRPr="00C15ED2">
        <w:rPr>
          <w:sz w:val="28"/>
          <w:szCs w:val="28"/>
        </w:rPr>
        <w:t>Any unfair or deceptive act or practice, however, can be a violation of the CPA</w:t>
      </w:r>
      <w:r w:rsidR="006C2DE3" w:rsidRPr="00C15ED2">
        <w:rPr>
          <w:sz w:val="28"/>
          <w:szCs w:val="28"/>
        </w:rPr>
        <w:t xml:space="preserve"> regardless of whether it appears in a specific subsection of the CPA</w:t>
      </w:r>
      <w:r w:rsidR="0017103E" w:rsidRPr="00C15ED2">
        <w:rPr>
          <w:sz w:val="28"/>
          <w:szCs w:val="28"/>
        </w:rPr>
        <w:t>.</w:t>
      </w:r>
      <w:r w:rsidR="007A6166" w:rsidRPr="00C15ED2">
        <w:rPr>
          <w:sz w:val="28"/>
          <w:szCs w:val="28"/>
        </w:rPr>
        <w:t xml:space="preserve">  </w:t>
      </w:r>
    </w:p>
    <w:p w14:paraId="69B34CFD" w14:textId="77777777" w:rsidR="006C2DE3" w:rsidRPr="00C15ED2" w:rsidRDefault="006C2DE3" w:rsidP="00C15ED2">
      <w:pPr>
        <w:spacing w:line="360" w:lineRule="auto"/>
        <w:jc w:val="both"/>
        <w:rPr>
          <w:sz w:val="28"/>
          <w:szCs w:val="28"/>
        </w:rPr>
      </w:pPr>
    </w:p>
    <w:p w14:paraId="1E9D6E10" w14:textId="5A34DCF1" w:rsidR="0017103E" w:rsidRPr="00C15ED2" w:rsidRDefault="0017103E" w:rsidP="00C15ED2">
      <w:pPr>
        <w:spacing w:line="360" w:lineRule="auto"/>
        <w:jc w:val="both"/>
        <w:rPr>
          <w:sz w:val="28"/>
          <w:szCs w:val="28"/>
        </w:rPr>
      </w:pPr>
      <w:r w:rsidRPr="00C15ED2">
        <w:rPr>
          <w:sz w:val="28"/>
          <w:szCs w:val="28"/>
        </w:rPr>
        <w:t>The CPA provides a private right of action for</w:t>
      </w:r>
      <w:r w:rsidR="00132A10" w:rsidRPr="00C15ED2">
        <w:rPr>
          <w:sz w:val="28"/>
          <w:szCs w:val="28"/>
        </w:rPr>
        <w:t xml:space="preserve"> </w:t>
      </w:r>
      <w:r w:rsidRPr="00C15ED2">
        <w:rPr>
          <w:sz w:val="28"/>
          <w:szCs w:val="28"/>
        </w:rPr>
        <w:t xml:space="preserve">the recovery of treble damages </w:t>
      </w:r>
      <w:r w:rsidR="00132A10" w:rsidRPr="00C15ED2">
        <w:rPr>
          <w:sz w:val="28"/>
          <w:szCs w:val="28"/>
        </w:rPr>
        <w:t>(</w:t>
      </w:r>
      <w:r w:rsidRPr="00C15ED2">
        <w:rPr>
          <w:sz w:val="28"/>
          <w:szCs w:val="28"/>
        </w:rPr>
        <w:t>or $500, whichever is greater</w:t>
      </w:r>
      <w:r w:rsidR="00132A10" w:rsidRPr="00C15ED2">
        <w:rPr>
          <w:sz w:val="28"/>
          <w:szCs w:val="28"/>
        </w:rPr>
        <w:t>)</w:t>
      </w:r>
      <w:r w:rsidRPr="00C15ED2">
        <w:rPr>
          <w:sz w:val="28"/>
          <w:szCs w:val="28"/>
        </w:rPr>
        <w:t xml:space="preserve">, </w:t>
      </w:r>
      <w:r w:rsidR="00E755F9">
        <w:rPr>
          <w:sz w:val="28"/>
          <w:szCs w:val="28"/>
        </w:rPr>
        <w:t xml:space="preserve">injunctive relief, and </w:t>
      </w:r>
      <w:r w:rsidRPr="00C15ED2">
        <w:rPr>
          <w:sz w:val="28"/>
          <w:szCs w:val="28"/>
        </w:rPr>
        <w:t xml:space="preserve">full reasonable attorney’s fees.  </w:t>
      </w:r>
      <w:proofErr w:type="gramStart"/>
      <w:r w:rsidR="00E755F9">
        <w:rPr>
          <w:sz w:val="28"/>
          <w:szCs w:val="28"/>
        </w:rPr>
        <w:t>AS 45.50.531, .535, .537.</w:t>
      </w:r>
      <w:proofErr w:type="gramEnd"/>
      <w:r w:rsidR="00E755F9">
        <w:rPr>
          <w:sz w:val="28"/>
          <w:szCs w:val="28"/>
        </w:rPr>
        <w:t xml:space="preserve">  </w:t>
      </w:r>
      <w:r w:rsidRPr="00C15ED2">
        <w:rPr>
          <w:sz w:val="28"/>
          <w:szCs w:val="28"/>
        </w:rPr>
        <w:t xml:space="preserve">When the State of Alaska is a plaintiff, the state can recover </w:t>
      </w:r>
      <w:r w:rsidR="00132A10" w:rsidRPr="00C15ED2">
        <w:rPr>
          <w:sz w:val="28"/>
          <w:szCs w:val="28"/>
        </w:rPr>
        <w:t xml:space="preserve">restitution on behalf of consumers, injunctive relief, </w:t>
      </w:r>
      <w:r w:rsidRPr="00C15ED2">
        <w:rPr>
          <w:sz w:val="28"/>
          <w:szCs w:val="28"/>
        </w:rPr>
        <w:t xml:space="preserve">attorney’s fees and penalties </w:t>
      </w:r>
      <w:proofErr w:type="gramStart"/>
      <w:r w:rsidR="00D24307" w:rsidRPr="00C15ED2">
        <w:rPr>
          <w:sz w:val="28"/>
          <w:szCs w:val="28"/>
        </w:rPr>
        <w:t>between $1,000 to $25,000</w:t>
      </w:r>
      <w:r w:rsidRPr="00C15ED2">
        <w:rPr>
          <w:sz w:val="28"/>
          <w:szCs w:val="28"/>
        </w:rPr>
        <w:t xml:space="preserve"> per violation</w:t>
      </w:r>
      <w:proofErr w:type="gramEnd"/>
      <w:r w:rsidRPr="00C15ED2">
        <w:rPr>
          <w:sz w:val="28"/>
          <w:szCs w:val="28"/>
        </w:rPr>
        <w:t>.  Each separate transaction is considered a separate violation for purposes of calculating an appropriate penalty.</w:t>
      </w:r>
    </w:p>
    <w:p w14:paraId="189421B9" w14:textId="77777777" w:rsidR="0017103E" w:rsidRPr="00C15ED2" w:rsidRDefault="0017103E" w:rsidP="00C15ED2">
      <w:pPr>
        <w:spacing w:line="360" w:lineRule="auto"/>
        <w:jc w:val="both"/>
        <w:rPr>
          <w:sz w:val="28"/>
          <w:szCs w:val="28"/>
        </w:rPr>
      </w:pPr>
    </w:p>
    <w:p w14:paraId="05DE7BBF" w14:textId="390CE51D" w:rsidR="0017103E" w:rsidRPr="00C15ED2" w:rsidRDefault="0017103E" w:rsidP="00C15ED2">
      <w:pPr>
        <w:spacing w:line="360" w:lineRule="auto"/>
        <w:jc w:val="both"/>
        <w:rPr>
          <w:sz w:val="28"/>
          <w:szCs w:val="28"/>
        </w:rPr>
      </w:pPr>
      <w:r w:rsidRPr="00C15ED2">
        <w:rPr>
          <w:sz w:val="28"/>
          <w:szCs w:val="28"/>
        </w:rPr>
        <w:t xml:space="preserve">The CPA requires that a private plaintiff sustain an ascertainable loss of money or property </w:t>
      </w:r>
      <w:r w:rsidR="00132A10" w:rsidRPr="00C15ED2">
        <w:rPr>
          <w:sz w:val="28"/>
          <w:szCs w:val="28"/>
        </w:rPr>
        <w:t>in order to maintain an action</w:t>
      </w:r>
      <w:r w:rsidR="00BB19B4">
        <w:rPr>
          <w:sz w:val="28"/>
          <w:szCs w:val="28"/>
        </w:rPr>
        <w:t xml:space="preserve"> for damages</w:t>
      </w:r>
      <w:r w:rsidR="00132A10" w:rsidRPr="00C15ED2">
        <w:rPr>
          <w:sz w:val="28"/>
          <w:szCs w:val="28"/>
        </w:rPr>
        <w:t xml:space="preserve">.  </w:t>
      </w:r>
      <w:proofErr w:type="gramStart"/>
      <w:r w:rsidR="00E755F9">
        <w:rPr>
          <w:sz w:val="28"/>
          <w:szCs w:val="28"/>
        </w:rPr>
        <w:t>AS 45.50.531(a).</w:t>
      </w:r>
      <w:proofErr w:type="gramEnd"/>
      <w:r w:rsidR="00E755F9">
        <w:rPr>
          <w:sz w:val="28"/>
          <w:szCs w:val="28"/>
        </w:rPr>
        <w:t xml:space="preserve">  </w:t>
      </w:r>
      <w:r w:rsidR="00132A10" w:rsidRPr="00C15ED2">
        <w:rPr>
          <w:sz w:val="28"/>
          <w:szCs w:val="28"/>
        </w:rPr>
        <w:t xml:space="preserve">The </w:t>
      </w:r>
      <w:r w:rsidR="007202AF">
        <w:rPr>
          <w:sz w:val="28"/>
          <w:szCs w:val="28"/>
        </w:rPr>
        <w:t>S</w:t>
      </w:r>
      <w:r w:rsidR="00132A10" w:rsidRPr="00C15ED2">
        <w:rPr>
          <w:sz w:val="28"/>
          <w:szCs w:val="28"/>
        </w:rPr>
        <w:t xml:space="preserve">tate, </w:t>
      </w:r>
      <w:r w:rsidR="00132A10" w:rsidRPr="00C15ED2">
        <w:rPr>
          <w:sz w:val="28"/>
          <w:szCs w:val="28"/>
        </w:rPr>
        <w:lastRenderedPageBreak/>
        <w:t>however, does not need to demonstrate such a loss, and can bring an action to stop illegal conduct regardless of whether any consumers have suffered a loss.</w:t>
      </w:r>
    </w:p>
    <w:p w14:paraId="433DF114" w14:textId="77777777" w:rsidR="00132A10" w:rsidRPr="00C15ED2" w:rsidRDefault="00132A10" w:rsidP="00C15ED2">
      <w:pPr>
        <w:spacing w:line="360" w:lineRule="auto"/>
        <w:jc w:val="both"/>
        <w:rPr>
          <w:sz w:val="28"/>
          <w:szCs w:val="28"/>
        </w:rPr>
      </w:pPr>
    </w:p>
    <w:p w14:paraId="3A5669ED" w14:textId="13D8814B" w:rsidR="00132A10" w:rsidRPr="00C15ED2" w:rsidRDefault="00132A10" w:rsidP="00C15ED2">
      <w:pPr>
        <w:spacing w:line="360" w:lineRule="auto"/>
        <w:jc w:val="both"/>
        <w:rPr>
          <w:sz w:val="28"/>
          <w:szCs w:val="28"/>
        </w:rPr>
      </w:pPr>
      <w:r w:rsidRPr="00C15ED2">
        <w:rPr>
          <w:sz w:val="28"/>
          <w:szCs w:val="28"/>
        </w:rPr>
        <w:t xml:space="preserve">The leading CPA case in Alaska is </w:t>
      </w:r>
      <w:r w:rsidR="00F05130" w:rsidRPr="00C15ED2">
        <w:rPr>
          <w:i/>
          <w:sz w:val="28"/>
          <w:szCs w:val="28"/>
        </w:rPr>
        <w:t>State v. O’</w:t>
      </w:r>
      <w:r w:rsidR="00635953" w:rsidRPr="00C15ED2">
        <w:rPr>
          <w:i/>
          <w:sz w:val="28"/>
          <w:szCs w:val="28"/>
        </w:rPr>
        <w:t>N</w:t>
      </w:r>
      <w:r w:rsidR="00F05130" w:rsidRPr="00C15ED2">
        <w:rPr>
          <w:i/>
          <w:sz w:val="28"/>
          <w:szCs w:val="28"/>
        </w:rPr>
        <w:t>eill Investigations, Inc.</w:t>
      </w:r>
      <w:r w:rsidR="00F05130" w:rsidRPr="00C15ED2">
        <w:rPr>
          <w:sz w:val="28"/>
          <w:szCs w:val="28"/>
        </w:rPr>
        <w:t xml:space="preserve">, 609 P.2d 520 (Alaska 1980).  In that case the Alaska Supreme Court set out the factors to consider when deciding if a specific act or practice is “unfair.”  Although originally applied only to consumer transactions involving “consumer goods,” the scope of the CPA was expanded to include business transactions involving commercial goods and services.  </w:t>
      </w:r>
      <w:r w:rsidR="00E46A9F" w:rsidRPr="00C15ED2">
        <w:rPr>
          <w:i/>
          <w:sz w:val="28"/>
          <w:szCs w:val="28"/>
        </w:rPr>
        <w:t>Western Star</w:t>
      </w:r>
      <w:r w:rsidR="00E43B99" w:rsidRPr="00C15ED2">
        <w:rPr>
          <w:i/>
          <w:sz w:val="28"/>
          <w:szCs w:val="28"/>
        </w:rPr>
        <w:t xml:space="preserve"> Trucks</w:t>
      </w:r>
      <w:r w:rsidR="00E46A9F" w:rsidRPr="00C15ED2">
        <w:rPr>
          <w:i/>
          <w:sz w:val="28"/>
          <w:szCs w:val="28"/>
        </w:rPr>
        <w:t xml:space="preserve">, Inc. v. Big Iron Equip. </w:t>
      </w:r>
      <w:proofErr w:type="gramStart"/>
      <w:r w:rsidR="00E46A9F" w:rsidRPr="00C15ED2">
        <w:rPr>
          <w:i/>
          <w:sz w:val="28"/>
          <w:szCs w:val="28"/>
        </w:rPr>
        <w:t>Svc.</w:t>
      </w:r>
      <w:r w:rsidR="00635953" w:rsidRPr="00C15ED2">
        <w:rPr>
          <w:i/>
          <w:sz w:val="28"/>
          <w:szCs w:val="28"/>
        </w:rPr>
        <w:t>,</w:t>
      </w:r>
      <w:proofErr w:type="gramEnd"/>
      <w:r w:rsidR="00E46A9F" w:rsidRPr="00C15ED2">
        <w:rPr>
          <w:i/>
          <w:sz w:val="28"/>
          <w:szCs w:val="28"/>
        </w:rPr>
        <w:t xml:space="preserve"> Inc.</w:t>
      </w:r>
      <w:r w:rsidR="00E46A9F" w:rsidRPr="00C15ED2">
        <w:rPr>
          <w:sz w:val="28"/>
          <w:szCs w:val="28"/>
        </w:rPr>
        <w:t>, 101 P.3d 1047 (Alaska 2004).</w:t>
      </w:r>
      <w:r w:rsidR="00D24307" w:rsidRPr="00C15ED2">
        <w:rPr>
          <w:sz w:val="28"/>
          <w:szCs w:val="28"/>
        </w:rPr>
        <w:t xml:space="preserve">  </w:t>
      </w:r>
      <w:proofErr w:type="gramStart"/>
      <w:r w:rsidR="00D24307" w:rsidRPr="00C15ED2">
        <w:rPr>
          <w:sz w:val="28"/>
          <w:szCs w:val="28"/>
        </w:rPr>
        <w:t xml:space="preserve">In </w:t>
      </w:r>
      <w:r w:rsidR="00D24307" w:rsidRPr="00C15ED2">
        <w:rPr>
          <w:i/>
          <w:sz w:val="28"/>
          <w:szCs w:val="28"/>
        </w:rPr>
        <w:t xml:space="preserve">ASRC Energy </w:t>
      </w:r>
      <w:proofErr w:type="spellStart"/>
      <w:r w:rsidR="00D24307" w:rsidRPr="00C15ED2">
        <w:rPr>
          <w:i/>
          <w:sz w:val="28"/>
          <w:szCs w:val="28"/>
        </w:rPr>
        <w:t>Servs</w:t>
      </w:r>
      <w:proofErr w:type="spellEnd"/>
      <w:r w:rsidR="00D24307" w:rsidRPr="00C15ED2">
        <w:rPr>
          <w:i/>
          <w:sz w:val="28"/>
          <w:szCs w:val="28"/>
        </w:rPr>
        <w:t>.</w:t>
      </w:r>
      <w:proofErr w:type="gramEnd"/>
      <w:r w:rsidR="00D24307" w:rsidRPr="00C15ED2">
        <w:rPr>
          <w:i/>
          <w:sz w:val="28"/>
          <w:szCs w:val="28"/>
        </w:rPr>
        <w:t xml:space="preserve"> Power &amp; </w:t>
      </w:r>
      <w:proofErr w:type="spellStart"/>
      <w:r w:rsidR="00D24307" w:rsidRPr="00C15ED2">
        <w:rPr>
          <w:i/>
          <w:sz w:val="28"/>
          <w:szCs w:val="28"/>
        </w:rPr>
        <w:t>Commc'ns</w:t>
      </w:r>
      <w:proofErr w:type="spellEnd"/>
      <w:r w:rsidR="00D24307" w:rsidRPr="00C15ED2">
        <w:rPr>
          <w:i/>
          <w:sz w:val="28"/>
          <w:szCs w:val="28"/>
        </w:rPr>
        <w:t xml:space="preserve">, LLC v. Golden Valley Elec. </w:t>
      </w:r>
      <w:proofErr w:type="spellStart"/>
      <w:r w:rsidR="00D24307" w:rsidRPr="00C15ED2">
        <w:rPr>
          <w:i/>
          <w:sz w:val="28"/>
          <w:szCs w:val="28"/>
        </w:rPr>
        <w:t>Ass'n</w:t>
      </w:r>
      <w:proofErr w:type="spellEnd"/>
      <w:r w:rsidR="00D24307" w:rsidRPr="00C15ED2">
        <w:rPr>
          <w:i/>
          <w:sz w:val="28"/>
          <w:szCs w:val="28"/>
        </w:rPr>
        <w:t>, Inc.</w:t>
      </w:r>
      <w:r w:rsidR="00D24307" w:rsidRPr="00C15ED2">
        <w:rPr>
          <w:sz w:val="28"/>
          <w:szCs w:val="28"/>
        </w:rPr>
        <w:t>, 267 P.3d 1151 (Alaska 2011), the Alaska Supreme Court summarized its precedent</w:t>
      </w:r>
      <w:r w:rsidR="00E755F9">
        <w:rPr>
          <w:sz w:val="28"/>
          <w:szCs w:val="28"/>
        </w:rPr>
        <w:t>s</w:t>
      </w:r>
      <w:r w:rsidR="00D24307" w:rsidRPr="00C15ED2">
        <w:rPr>
          <w:sz w:val="28"/>
          <w:szCs w:val="28"/>
        </w:rPr>
        <w:t xml:space="preserve"> regarding AS 45.50.471, and affirmed its prior application of that statute.  </w:t>
      </w:r>
    </w:p>
    <w:p w14:paraId="202A84E3" w14:textId="77777777" w:rsidR="006C2DE3" w:rsidRPr="00C15ED2" w:rsidRDefault="006C2DE3" w:rsidP="00C15ED2">
      <w:pPr>
        <w:spacing w:line="360" w:lineRule="auto"/>
        <w:jc w:val="both"/>
        <w:rPr>
          <w:sz w:val="28"/>
          <w:szCs w:val="28"/>
        </w:rPr>
      </w:pPr>
    </w:p>
    <w:p w14:paraId="1A38BF80" w14:textId="3EBE6207" w:rsidR="00F42F77" w:rsidRPr="00C15ED2" w:rsidRDefault="00D71377" w:rsidP="00C15ED2">
      <w:pPr>
        <w:spacing w:line="360" w:lineRule="auto"/>
        <w:jc w:val="both"/>
        <w:rPr>
          <w:sz w:val="28"/>
          <w:szCs w:val="28"/>
        </w:rPr>
      </w:pPr>
      <w:r w:rsidRPr="00C15ED2">
        <w:rPr>
          <w:sz w:val="28"/>
          <w:szCs w:val="28"/>
        </w:rPr>
        <w:t xml:space="preserve">These instructions do not address </w:t>
      </w:r>
      <w:r w:rsidR="00BB19B4">
        <w:rPr>
          <w:sz w:val="28"/>
          <w:szCs w:val="28"/>
        </w:rPr>
        <w:t xml:space="preserve">private </w:t>
      </w:r>
      <w:r w:rsidRPr="00C15ED2">
        <w:rPr>
          <w:sz w:val="28"/>
          <w:szCs w:val="28"/>
        </w:rPr>
        <w:t xml:space="preserve">claims for injunctive relief (AS 45.50.535), or the </w:t>
      </w:r>
      <w:r w:rsidR="00196EF1" w:rsidRPr="00C15ED2">
        <w:rPr>
          <w:sz w:val="28"/>
          <w:szCs w:val="28"/>
        </w:rPr>
        <w:t>CPA</w:t>
      </w:r>
      <w:r w:rsidRPr="00C15ED2">
        <w:rPr>
          <w:sz w:val="28"/>
          <w:szCs w:val="28"/>
        </w:rPr>
        <w:t xml:space="preserve"> remedies that are available to the Alaska attorney general (AS 45.50.495, .501, .551).</w:t>
      </w:r>
    </w:p>
    <w:p w14:paraId="0E174C79" w14:textId="77777777" w:rsidR="006C2DE3" w:rsidRPr="00C15ED2" w:rsidRDefault="006C2DE3" w:rsidP="00046545">
      <w:pPr>
        <w:jc w:val="both"/>
        <w:rPr>
          <w:sz w:val="28"/>
          <w:szCs w:val="28"/>
        </w:rPr>
      </w:pPr>
    </w:p>
    <w:p w14:paraId="2EDD6F90" w14:textId="77777777" w:rsidR="006C2DE3" w:rsidRPr="00C15ED2" w:rsidRDefault="006C2DE3" w:rsidP="00046545">
      <w:pPr>
        <w:jc w:val="both"/>
        <w:rPr>
          <w:sz w:val="28"/>
          <w:szCs w:val="28"/>
        </w:rPr>
      </w:pPr>
    </w:p>
    <w:sectPr w:rsidR="006C2DE3" w:rsidRPr="00C15ED2" w:rsidSect="0004654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74B7E6" w14:textId="77777777" w:rsidR="00BC7B9F" w:rsidRDefault="00BC7B9F">
      <w:r>
        <w:separator/>
      </w:r>
    </w:p>
  </w:endnote>
  <w:endnote w:type="continuationSeparator" w:id="0">
    <w:p w14:paraId="286CB548" w14:textId="77777777" w:rsidR="00BC7B9F" w:rsidRDefault="00BC7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D9C14" w14:textId="77777777" w:rsidR="00B60850" w:rsidRDefault="00B608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szCs w:val="22"/>
      </w:rPr>
      <w:id w:val="-1019619209"/>
      <w:docPartObj>
        <w:docPartGallery w:val="Page Numbers (Bottom of Page)"/>
        <w:docPartUnique/>
      </w:docPartObj>
    </w:sdtPr>
    <w:sdtEndPr/>
    <w:sdtContent>
      <w:sdt>
        <w:sdtPr>
          <w:rPr>
            <w:sz w:val="22"/>
            <w:szCs w:val="22"/>
          </w:rPr>
          <w:id w:val="98381352"/>
          <w:docPartObj>
            <w:docPartGallery w:val="Page Numbers (Top of Page)"/>
            <w:docPartUnique/>
          </w:docPartObj>
        </w:sdtPr>
        <w:sdtEndPr/>
        <w:sdtContent>
          <w:p w14:paraId="7E2FEDFD" w14:textId="77777777" w:rsidR="00C15ED2" w:rsidRDefault="00C15ED2" w:rsidP="00C15ED2">
            <w:pPr>
              <w:pStyle w:val="Footer"/>
              <w:tabs>
                <w:tab w:val="clear" w:pos="8640"/>
              </w:tabs>
              <w:rPr>
                <w:sz w:val="22"/>
                <w:szCs w:val="22"/>
              </w:rPr>
            </w:pPr>
          </w:p>
          <w:p w14:paraId="453AD180" w14:textId="0FC9FA93" w:rsidR="00C15ED2" w:rsidRPr="00C15ED2" w:rsidRDefault="00C15ED2" w:rsidP="00C15ED2">
            <w:pPr>
              <w:pStyle w:val="Footer"/>
              <w:tabs>
                <w:tab w:val="clear" w:pos="8640"/>
              </w:tabs>
              <w:rPr>
                <w:sz w:val="22"/>
                <w:szCs w:val="22"/>
              </w:rPr>
            </w:pPr>
            <w:r>
              <w:rPr>
                <w:sz w:val="22"/>
                <w:szCs w:val="22"/>
              </w:rPr>
              <w:t>Revised 2020</w:t>
            </w:r>
            <w:r>
              <w:rPr>
                <w:sz w:val="22"/>
                <w:szCs w:val="22"/>
              </w:rPr>
              <w:tab/>
            </w:r>
            <w:r>
              <w:rPr>
                <w:sz w:val="22"/>
                <w:szCs w:val="22"/>
              </w:rPr>
              <w:tab/>
            </w:r>
            <w:r>
              <w:rPr>
                <w:sz w:val="22"/>
                <w:szCs w:val="22"/>
              </w:rPr>
              <w:tab/>
            </w:r>
            <w:r>
              <w:rPr>
                <w:sz w:val="22"/>
                <w:szCs w:val="22"/>
              </w:rPr>
              <w:tab/>
            </w:r>
            <w:r>
              <w:rPr>
                <w:sz w:val="22"/>
                <w:szCs w:val="22"/>
              </w:rPr>
              <w:tab/>
              <w:t xml:space="preserve">        10.00 - </w:t>
            </w:r>
            <w:r w:rsidRPr="00C15ED2">
              <w:rPr>
                <w:sz w:val="22"/>
                <w:szCs w:val="22"/>
              </w:rPr>
              <w:t xml:space="preserve">Page </w:t>
            </w:r>
            <w:r w:rsidRPr="00C15ED2">
              <w:rPr>
                <w:bCs/>
                <w:sz w:val="22"/>
                <w:szCs w:val="22"/>
              </w:rPr>
              <w:fldChar w:fldCharType="begin"/>
            </w:r>
            <w:r w:rsidRPr="00C15ED2">
              <w:rPr>
                <w:bCs/>
                <w:sz w:val="22"/>
                <w:szCs w:val="22"/>
              </w:rPr>
              <w:instrText xml:space="preserve"> PAGE </w:instrText>
            </w:r>
            <w:r w:rsidRPr="00C15ED2">
              <w:rPr>
                <w:bCs/>
                <w:sz w:val="22"/>
                <w:szCs w:val="22"/>
              </w:rPr>
              <w:fldChar w:fldCharType="separate"/>
            </w:r>
            <w:r w:rsidR="00DE712D">
              <w:rPr>
                <w:bCs/>
                <w:noProof/>
                <w:sz w:val="22"/>
                <w:szCs w:val="22"/>
              </w:rPr>
              <w:t>1</w:t>
            </w:r>
            <w:r w:rsidRPr="00C15ED2">
              <w:rPr>
                <w:bCs/>
                <w:sz w:val="22"/>
                <w:szCs w:val="22"/>
              </w:rPr>
              <w:fldChar w:fldCharType="end"/>
            </w:r>
            <w:r w:rsidRPr="00C15ED2">
              <w:rPr>
                <w:sz w:val="22"/>
                <w:szCs w:val="22"/>
              </w:rPr>
              <w:t xml:space="preserve"> of </w:t>
            </w:r>
            <w:r w:rsidRPr="00C15ED2">
              <w:rPr>
                <w:bCs/>
                <w:sz w:val="22"/>
                <w:szCs w:val="22"/>
              </w:rPr>
              <w:fldChar w:fldCharType="begin"/>
            </w:r>
            <w:r w:rsidRPr="00C15ED2">
              <w:rPr>
                <w:bCs/>
                <w:sz w:val="22"/>
                <w:szCs w:val="22"/>
              </w:rPr>
              <w:instrText xml:space="preserve"> NUMPAGES  </w:instrText>
            </w:r>
            <w:r w:rsidRPr="00C15ED2">
              <w:rPr>
                <w:bCs/>
                <w:sz w:val="22"/>
                <w:szCs w:val="22"/>
              </w:rPr>
              <w:fldChar w:fldCharType="separate"/>
            </w:r>
            <w:r w:rsidR="00DE712D">
              <w:rPr>
                <w:bCs/>
                <w:noProof/>
                <w:sz w:val="22"/>
                <w:szCs w:val="22"/>
              </w:rPr>
              <w:t>2</w:t>
            </w:r>
            <w:r w:rsidRPr="00C15ED2">
              <w:rPr>
                <w:bCs/>
                <w:sz w:val="22"/>
                <w:szCs w:val="22"/>
              </w:rPr>
              <w:fldChar w:fldCharType="end"/>
            </w:r>
          </w:p>
        </w:sdtContent>
      </w:sdt>
    </w:sdtContent>
  </w:sdt>
  <w:p w14:paraId="60BFEA70" w14:textId="0468D833" w:rsidR="00B225C4" w:rsidRPr="00C15ED2" w:rsidRDefault="00B225C4" w:rsidP="00C15ED2">
    <w:pPr>
      <w:pStyle w:val="Footer"/>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34DC8" w14:textId="77777777" w:rsidR="00B60850" w:rsidRDefault="00B608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5E54E6" w14:textId="77777777" w:rsidR="00BC7B9F" w:rsidRDefault="00BC7B9F">
      <w:r>
        <w:separator/>
      </w:r>
    </w:p>
  </w:footnote>
  <w:footnote w:type="continuationSeparator" w:id="0">
    <w:p w14:paraId="20EA8F6B" w14:textId="77777777" w:rsidR="00BC7B9F" w:rsidRDefault="00BC7B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5D45DB" w14:textId="77777777" w:rsidR="00B60850" w:rsidRDefault="00B608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D2687" w14:textId="77777777" w:rsidR="00B60850" w:rsidRDefault="00B608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95B23" w14:textId="77777777" w:rsidR="00B60850" w:rsidRDefault="00B60850">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ik, Jim (ANC)">
    <w15:presenceInfo w15:providerId="AD" w15:userId="S::JLeik@perkinscoie.com::55e93035-3fad-400e-8d2f-588d0d0394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F1E"/>
    <w:rsid w:val="00046545"/>
    <w:rsid w:val="000807D5"/>
    <w:rsid w:val="00132A10"/>
    <w:rsid w:val="0017103E"/>
    <w:rsid w:val="00185C57"/>
    <w:rsid w:val="00196EF1"/>
    <w:rsid w:val="00222E27"/>
    <w:rsid w:val="0028003A"/>
    <w:rsid w:val="002B1C52"/>
    <w:rsid w:val="00302314"/>
    <w:rsid w:val="00372276"/>
    <w:rsid w:val="00417F4A"/>
    <w:rsid w:val="00477AA7"/>
    <w:rsid w:val="00485F1E"/>
    <w:rsid w:val="004973D5"/>
    <w:rsid w:val="005709A0"/>
    <w:rsid w:val="00620953"/>
    <w:rsid w:val="00635953"/>
    <w:rsid w:val="006C2DE3"/>
    <w:rsid w:val="007202AF"/>
    <w:rsid w:val="007A6166"/>
    <w:rsid w:val="00815481"/>
    <w:rsid w:val="00864792"/>
    <w:rsid w:val="009D0019"/>
    <w:rsid w:val="009D1092"/>
    <w:rsid w:val="00A24EFD"/>
    <w:rsid w:val="00A82A68"/>
    <w:rsid w:val="00A87EBA"/>
    <w:rsid w:val="00B04FF9"/>
    <w:rsid w:val="00B225C4"/>
    <w:rsid w:val="00B60850"/>
    <w:rsid w:val="00BB19B4"/>
    <w:rsid w:val="00BC7B9F"/>
    <w:rsid w:val="00C159B4"/>
    <w:rsid w:val="00C15ED2"/>
    <w:rsid w:val="00C16C5B"/>
    <w:rsid w:val="00C52B17"/>
    <w:rsid w:val="00D03BFA"/>
    <w:rsid w:val="00D24307"/>
    <w:rsid w:val="00D71377"/>
    <w:rsid w:val="00DD4DA3"/>
    <w:rsid w:val="00DE7108"/>
    <w:rsid w:val="00DE712D"/>
    <w:rsid w:val="00E43B99"/>
    <w:rsid w:val="00E46A9F"/>
    <w:rsid w:val="00E755F9"/>
    <w:rsid w:val="00E95EBF"/>
    <w:rsid w:val="00F05130"/>
    <w:rsid w:val="00F42F77"/>
    <w:rsid w:val="00F52053"/>
    <w:rsid w:val="00F802F3"/>
    <w:rsid w:val="00F827CD"/>
    <w:rsid w:val="00F97BFE"/>
    <w:rsid w:val="00FA0F69"/>
    <w:rsid w:val="00FC2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FF78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6545"/>
    <w:pPr>
      <w:tabs>
        <w:tab w:val="center" w:pos="4320"/>
        <w:tab w:val="right" w:pos="8640"/>
      </w:tabs>
    </w:pPr>
  </w:style>
  <w:style w:type="paragraph" w:styleId="Footer">
    <w:name w:val="footer"/>
    <w:basedOn w:val="Normal"/>
    <w:link w:val="FooterChar"/>
    <w:uiPriority w:val="99"/>
    <w:rsid w:val="00046545"/>
    <w:pPr>
      <w:tabs>
        <w:tab w:val="center" w:pos="4320"/>
        <w:tab w:val="right" w:pos="8640"/>
      </w:tabs>
    </w:pPr>
  </w:style>
  <w:style w:type="character" w:styleId="PageNumber">
    <w:name w:val="page number"/>
    <w:basedOn w:val="DefaultParagraphFont"/>
    <w:rsid w:val="00046545"/>
  </w:style>
  <w:style w:type="paragraph" w:styleId="BalloonText">
    <w:name w:val="Balloon Text"/>
    <w:basedOn w:val="Normal"/>
    <w:link w:val="BalloonTextChar"/>
    <w:uiPriority w:val="99"/>
    <w:semiHidden/>
    <w:unhideWhenUsed/>
    <w:rsid w:val="00D243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307"/>
    <w:rPr>
      <w:rFonts w:ascii="Segoe UI" w:hAnsi="Segoe UI" w:cs="Segoe UI"/>
      <w:sz w:val="18"/>
      <w:szCs w:val="18"/>
    </w:rPr>
  </w:style>
  <w:style w:type="character" w:customStyle="1" w:styleId="FooterChar">
    <w:name w:val="Footer Char"/>
    <w:basedOn w:val="DefaultParagraphFont"/>
    <w:link w:val="Footer"/>
    <w:uiPriority w:val="99"/>
    <w:rsid w:val="00C15ED2"/>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6545"/>
    <w:pPr>
      <w:tabs>
        <w:tab w:val="center" w:pos="4320"/>
        <w:tab w:val="right" w:pos="8640"/>
      </w:tabs>
    </w:pPr>
  </w:style>
  <w:style w:type="paragraph" w:styleId="Footer">
    <w:name w:val="footer"/>
    <w:basedOn w:val="Normal"/>
    <w:link w:val="FooterChar"/>
    <w:uiPriority w:val="99"/>
    <w:rsid w:val="00046545"/>
    <w:pPr>
      <w:tabs>
        <w:tab w:val="center" w:pos="4320"/>
        <w:tab w:val="right" w:pos="8640"/>
      </w:tabs>
    </w:pPr>
  </w:style>
  <w:style w:type="character" w:styleId="PageNumber">
    <w:name w:val="page number"/>
    <w:basedOn w:val="DefaultParagraphFont"/>
    <w:rsid w:val="00046545"/>
  </w:style>
  <w:style w:type="paragraph" w:styleId="BalloonText">
    <w:name w:val="Balloon Text"/>
    <w:basedOn w:val="Normal"/>
    <w:link w:val="BalloonTextChar"/>
    <w:uiPriority w:val="99"/>
    <w:semiHidden/>
    <w:unhideWhenUsed/>
    <w:rsid w:val="00D243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307"/>
    <w:rPr>
      <w:rFonts w:ascii="Segoe UI" w:hAnsi="Segoe UI" w:cs="Segoe UI"/>
      <w:sz w:val="18"/>
      <w:szCs w:val="18"/>
    </w:rPr>
  </w:style>
  <w:style w:type="character" w:customStyle="1" w:styleId="FooterChar">
    <w:name w:val="Footer Char"/>
    <w:basedOn w:val="DefaultParagraphFont"/>
    <w:link w:val="Footer"/>
    <w:uiPriority w:val="99"/>
    <w:rsid w:val="00C15ED2"/>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1F113-EF2B-4AE5-9C73-27F6BE877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2372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Alaska Court System</Company>
  <LinksUpToDate>false</LinksUpToDate>
  <CharactersWithSpaces>2798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Sanjay Kodidine</dc:creator>
  <cp:lastModifiedBy>Sanjay Kodidine</cp:lastModifiedBy>
  <cp:revision>2</cp:revision>
  <dcterms:created xsi:type="dcterms:W3CDTF">2020-05-27T21:19:00Z</dcterms:created>
  <dcterms:modified xsi:type="dcterms:W3CDTF">2020-05-27T21:19:00Z</dcterms:modified>
</cp:coreProperties>
</file>