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AC6910" w14:textId="713E283A" w:rsidR="00846EAF" w:rsidRDefault="0083575A" w:rsidP="008C17A0">
      <w:pPr>
        <w:tabs>
          <w:tab w:val="left" w:pos="1440"/>
        </w:tabs>
        <w:ind w:left="1440" w:hanging="1440"/>
        <w:jc w:val="both"/>
        <w:rPr>
          <w:b/>
          <w:sz w:val="28"/>
          <w:szCs w:val="28"/>
        </w:rPr>
      </w:pPr>
      <w:bookmarkStart w:id="0" w:name="_GoBack"/>
      <w:bookmarkEnd w:id="0"/>
      <w:r w:rsidRPr="000305EB">
        <w:rPr>
          <w:b/>
          <w:sz w:val="28"/>
          <w:szCs w:val="28"/>
        </w:rPr>
        <w:t>10.0</w:t>
      </w:r>
      <w:r w:rsidR="000305EB">
        <w:rPr>
          <w:b/>
          <w:sz w:val="28"/>
          <w:szCs w:val="28"/>
        </w:rPr>
        <w:t>1B</w:t>
      </w:r>
      <w:r w:rsidR="000305EB">
        <w:rPr>
          <w:b/>
          <w:sz w:val="28"/>
          <w:szCs w:val="28"/>
        </w:rPr>
        <w:tab/>
      </w:r>
      <w:r w:rsidR="009C6380" w:rsidRPr="000305EB">
        <w:rPr>
          <w:b/>
          <w:sz w:val="28"/>
          <w:szCs w:val="28"/>
        </w:rPr>
        <w:t xml:space="preserve">ELEMENTS OF A CONSUMER PROTECTION ACT CLAIM </w:t>
      </w:r>
      <w:r w:rsidR="001A7858">
        <w:rPr>
          <w:b/>
          <w:sz w:val="28"/>
          <w:szCs w:val="28"/>
        </w:rPr>
        <w:t xml:space="preserve">UNDER AS 45.50.531(a) </w:t>
      </w:r>
      <w:r w:rsidR="009C6380" w:rsidRPr="000305EB">
        <w:rPr>
          <w:b/>
          <w:sz w:val="28"/>
          <w:szCs w:val="28"/>
        </w:rPr>
        <w:t xml:space="preserve">BASED ON A </w:t>
      </w:r>
      <w:r w:rsidR="00D73DDB" w:rsidRPr="000305EB">
        <w:rPr>
          <w:b/>
          <w:sz w:val="28"/>
          <w:szCs w:val="28"/>
        </w:rPr>
        <w:t>PROVISION OF</w:t>
      </w:r>
      <w:r w:rsidR="00846EAF" w:rsidRPr="000305EB">
        <w:rPr>
          <w:b/>
          <w:sz w:val="28"/>
          <w:szCs w:val="28"/>
        </w:rPr>
        <w:t xml:space="preserve"> </w:t>
      </w:r>
      <w:r w:rsidR="001A7858">
        <w:rPr>
          <w:b/>
          <w:sz w:val="28"/>
          <w:szCs w:val="28"/>
        </w:rPr>
        <w:br/>
      </w:r>
      <w:r w:rsidR="00846EAF" w:rsidRPr="000305EB">
        <w:rPr>
          <w:b/>
          <w:sz w:val="28"/>
          <w:szCs w:val="28"/>
        </w:rPr>
        <w:t>AS 45.50.471(b)</w:t>
      </w:r>
    </w:p>
    <w:p w14:paraId="1E5431BC" w14:textId="77777777" w:rsidR="000305EB" w:rsidRDefault="000305EB" w:rsidP="000305EB">
      <w:pPr>
        <w:tabs>
          <w:tab w:val="left" w:pos="900"/>
        </w:tabs>
        <w:ind w:left="900" w:hanging="900"/>
        <w:jc w:val="both"/>
        <w:rPr>
          <w:b/>
          <w:sz w:val="28"/>
          <w:szCs w:val="28"/>
        </w:rPr>
      </w:pPr>
    </w:p>
    <w:p w14:paraId="1F04B145" w14:textId="77777777" w:rsidR="000305EB" w:rsidRPr="000305EB" w:rsidRDefault="000305EB" w:rsidP="000305EB">
      <w:pPr>
        <w:tabs>
          <w:tab w:val="left" w:pos="900"/>
        </w:tabs>
        <w:ind w:left="900" w:hanging="900"/>
        <w:jc w:val="both"/>
        <w:rPr>
          <w:b/>
          <w:sz w:val="28"/>
          <w:szCs w:val="28"/>
        </w:rPr>
      </w:pPr>
    </w:p>
    <w:p w14:paraId="14477CC8" w14:textId="4D87DD45" w:rsidR="00C20FED" w:rsidRPr="000305EB" w:rsidRDefault="00DD5EF7" w:rsidP="000305EB">
      <w:pPr>
        <w:pStyle w:val="center"/>
        <w:spacing w:before="0" w:line="360" w:lineRule="auto"/>
        <w:jc w:val="both"/>
        <w:rPr>
          <w:sz w:val="28"/>
          <w:szCs w:val="28"/>
        </w:rPr>
      </w:pPr>
      <w:r w:rsidRPr="000305EB">
        <w:rPr>
          <w:sz w:val="28"/>
          <w:szCs w:val="28"/>
        </w:rPr>
        <w:t>[P</w:t>
      </w:r>
      <w:r w:rsidR="00003742" w:rsidRPr="000305EB">
        <w:rPr>
          <w:sz w:val="28"/>
          <w:szCs w:val="28"/>
        </w:rPr>
        <w:t>laintiff</w:t>
      </w:r>
      <w:r w:rsidRPr="000305EB">
        <w:rPr>
          <w:sz w:val="28"/>
          <w:szCs w:val="28"/>
        </w:rPr>
        <w:t>]</w:t>
      </w:r>
      <w:r w:rsidR="00003742" w:rsidRPr="000305EB">
        <w:rPr>
          <w:sz w:val="28"/>
          <w:szCs w:val="28"/>
        </w:rPr>
        <w:t xml:space="preserve"> claims that [he</w:t>
      </w:r>
      <w:proofErr w:type="gramStart"/>
      <w:r w:rsidR="00003742" w:rsidRPr="000305EB">
        <w:rPr>
          <w:sz w:val="28"/>
          <w:szCs w:val="28"/>
        </w:rPr>
        <w:t>]</w:t>
      </w:r>
      <w:r w:rsidR="00846EAF" w:rsidRPr="000305EB">
        <w:rPr>
          <w:sz w:val="28"/>
          <w:szCs w:val="28"/>
        </w:rPr>
        <w:t>[</w:t>
      </w:r>
      <w:proofErr w:type="gramEnd"/>
      <w:r w:rsidR="00C20FED" w:rsidRPr="000305EB">
        <w:rPr>
          <w:sz w:val="28"/>
          <w:szCs w:val="28"/>
        </w:rPr>
        <w:t>she]</w:t>
      </w:r>
      <w:r w:rsidRPr="000305EB">
        <w:rPr>
          <w:sz w:val="28"/>
          <w:szCs w:val="28"/>
        </w:rPr>
        <w:t>[it]</w:t>
      </w:r>
      <w:r w:rsidR="00C20FED" w:rsidRPr="000305EB">
        <w:rPr>
          <w:sz w:val="28"/>
          <w:szCs w:val="28"/>
        </w:rPr>
        <w:t xml:space="preserve"> was </w:t>
      </w:r>
      <w:r w:rsidR="00D640A3" w:rsidRPr="000305EB">
        <w:rPr>
          <w:sz w:val="28"/>
          <w:szCs w:val="28"/>
        </w:rPr>
        <w:t xml:space="preserve">harmed </w:t>
      </w:r>
      <w:r w:rsidR="00C20FED" w:rsidRPr="000305EB">
        <w:rPr>
          <w:sz w:val="28"/>
          <w:szCs w:val="28"/>
        </w:rPr>
        <w:t xml:space="preserve">because </w:t>
      </w:r>
      <w:r w:rsidRPr="000305EB">
        <w:rPr>
          <w:sz w:val="28"/>
          <w:szCs w:val="28"/>
        </w:rPr>
        <w:t>[</w:t>
      </w:r>
      <w:r w:rsidR="00C20FED" w:rsidRPr="000305EB">
        <w:rPr>
          <w:sz w:val="28"/>
          <w:szCs w:val="28"/>
        </w:rPr>
        <w:t>defendant</w:t>
      </w:r>
      <w:r w:rsidRPr="000305EB">
        <w:rPr>
          <w:sz w:val="28"/>
          <w:szCs w:val="28"/>
        </w:rPr>
        <w:t>]</w:t>
      </w:r>
      <w:r w:rsidR="00C20FED" w:rsidRPr="000305EB">
        <w:rPr>
          <w:sz w:val="28"/>
          <w:szCs w:val="28"/>
        </w:rPr>
        <w:t xml:space="preserve"> [</w:t>
      </w:r>
      <w:r w:rsidR="0029449E" w:rsidRPr="000305EB">
        <w:rPr>
          <w:sz w:val="28"/>
          <w:szCs w:val="28"/>
        </w:rPr>
        <w:t xml:space="preserve">describe alleged violation of </w:t>
      </w:r>
      <w:r w:rsidR="00C20FED" w:rsidRPr="000305EB">
        <w:rPr>
          <w:sz w:val="28"/>
          <w:szCs w:val="28"/>
        </w:rPr>
        <w:t xml:space="preserve">specific provision(s) </w:t>
      </w:r>
      <w:r w:rsidR="0029449E" w:rsidRPr="000305EB">
        <w:rPr>
          <w:sz w:val="28"/>
          <w:szCs w:val="28"/>
        </w:rPr>
        <w:t>in</w:t>
      </w:r>
      <w:r w:rsidR="00C20FED" w:rsidRPr="000305EB">
        <w:rPr>
          <w:sz w:val="28"/>
          <w:szCs w:val="28"/>
        </w:rPr>
        <w:t xml:space="preserve"> AS 45.50.471(b)].  </w:t>
      </w:r>
      <w:r w:rsidR="00D640A3" w:rsidRPr="000305EB">
        <w:rPr>
          <w:sz w:val="28"/>
          <w:szCs w:val="28"/>
        </w:rPr>
        <w:t xml:space="preserve">In order to find in favor of </w:t>
      </w:r>
      <w:r w:rsidRPr="000305EB">
        <w:rPr>
          <w:sz w:val="28"/>
          <w:szCs w:val="28"/>
        </w:rPr>
        <w:t>[</w:t>
      </w:r>
      <w:r w:rsidR="00D640A3" w:rsidRPr="000305EB">
        <w:rPr>
          <w:sz w:val="28"/>
          <w:szCs w:val="28"/>
        </w:rPr>
        <w:t>plaintiff</w:t>
      </w:r>
      <w:r w:rsidRPr="000305EB">
        <w:rPr>
          <w:sz w:val="28"/>
          <w:szCs w:val="28"/>
        </w:rPr>
        <w:t>]</w:t>
      </w:r>
      <w:r w:rsidR="00D640A3" w:rsidRPr="000305EB">
        <w:rPr>
          <w:sz w:val="28"/>
          <w:szCs w:val="28"/>
        </w:rPr>
        <w:t xml:space="preserve"> on this claim, you must </w:t>
      </w:r>
      <w:r w:rsidR="00E04819" w:rsidRPr="000305EB">
        <w:rPr>
          <w:sz w:val="28"/>
          <w:szCs w:val="28"/>
        </w:rPr>
        <w:t>find</w:t>
      </w:r>
      <w:r w:rsidR="00D640A3" w:rsidRPr="000305EB">
        <w:rPr>
          <w:sz w:val="28"/>
          <w:szCs w:val="28"/>
        </w:rPr>
        <w:t xml:space="preserve"> </w:t>
      </w:r>
      <w:r w:rsidR="00C20FED" w:rsidRPr="000305EB">
        <w:rPr>
          <w:sz w:val="28"/>
          <w:szCs w:val="28"/>
        </w:rPr>
        <w:t>that it is more likely true than not true</w:t>
      </w:r>
      <w:r w:rsidR="002D328D" w:rsidRPr="000305EB">
        <w:rPr>
          <w:sz w:val="28"/>
          <w:szCs w:val="28"/>
        </w:rPr>
        <w:t xml:space="preserve"> that</w:t>
      </w:r>
      <w:r w:rsidR="00C20FED" w:rsidRPr="000305EB">
        <w:rPr>
          <w:sz w:val="28"/>
          <w:szCs w:val="28"/>
        </w:rPr>
        <w:t>:</w:t>
      </w:r>
    </w:p>
    <w:p w14:paraId="158AC2C6" w14:textId="72E81E17" w:rsidR="00C20FED" w:rsidRPr="000305EB" w:rsidRDefault="006976C6" w:rsidP="000305EB">
      <w:pPr>
        <w:pStyle w:val="center"/>
        <w:spacing w:before="0" w:line="360" w:lineRule="auto"/>
        <w:ind w:left="1440" w:right="720" w:hanging="810"/>
        <w:jc w:val="both"/>
        <w:rPr>
          <w:sz w:val="28"/>
          <w:szCs w:val="28"/>
        </w:rPr>
      </w:pPr>
      <w:r w:rsidRPr="000305EB">
        <w:rPr>
          <w:sz w:val="28"/>
          <w:szCs w:val="28"/>
        </w:rPr>
        <w:t xml:space="preserve"> </w:t>
      </w:r>
      <w:r w:rsidR="00C20FED" w:rsidRPr="000305EB">
        <w:rPr>
          <w:sz w:val="28"/>
          <w:szCs w:val="28"/>
        </w:rPr>
        <w:t>(1)</w:t>
      </w:r>
      <w:r w:rsidR="002D328D" w:rsidRPr="000305EB">
        <w:rPr>
          <w:sz w:val="28"/>
          <w:szCs w:val="28"/>
        </w:rPr>
        <w:t xml:space="preserve"> </w:t>
      </w:r>
      <w:r w:rsidR="002D328D" w:rsidRPr="000305EB">
        <w:rPr>
          <w:sz w:val="28"/>
          <w:szCs w:val="28"/>
        </w:rPr>
        <w:tab/>
      </w:r>
      <w:r w:rsidR="00DD5EF7" w:rsidRPr="000305EB">
        <w:rPr>
          <w:sz w:val="28"/>
          <w:szCs w:val="28"/>
        </w:rPr>
        <w:t>[</w:t>
      </w:r>
      <w:proofErr w:type="gramStart"/>
      <w:r w:rsidR="002D328D" w:rsidRPr="000305EB">
        <w:rPr>
          <w:sz w:val="28"/>
          <w:szCs w:val="28"/>
        </w:rPr>
        <w:t>defendant</w:t>
      </w:r>
      <w:proofErr w:type="gramEnd"/>
      <w:r w:rsidR="00DD5EF7" w:rsidRPr="000305EB">
        <w:rPr>
          <w:sz w:val="28"/>
          <w:szCs w:val="28"/>
        </w:rPr>
        <w:t>]</w:t>
      </w:r>
      <w:r w:rsidR="002D328D" w:rsidRPr="000305EB">
        <w:rPr>
          <w:sz w:val="28"/>
          <w:szCs w:val="28"/>
        </w:rPr>
        <w:t xml:space="preserve"> </w:t>
      </w:r>
      <w:r w:rsidR="00C20FED" w:rsidRPr="000305EB">
        <w:rPr>
          <w:sz w:val="28"/>
          <w:szCs w:val="28"/>
        </w:rPr>
        <w:t xml:space="preserve">[insert elements of specific </w:t>
      </w:r>
      <w:r w:rsidR="00861DDB" w:rsidRPr="000305EB">
        <w:rPr>
          <w:sz w:val="28"/>
          <w:szCs w:val="28"/>
        </w:rPr>
        <w:t xml:space="preserve">AS 45.50.471(b) </w:t>
      </w:r>
      <w:r w:rsidR="00C20FED" w:rsidRPr="000305EB">
        <w:rPr>
          <w:sz w:val="28"/>
          <w:szCs w:val="28"/>
        </w:rPr>
        <w:t xml:space="preserve">provision </w:t>
      </w:r>
      <w:r w:rsidR="00861DDB" w:rsidRPr="000305EB">
        <w:rPr>
          <w:sz w:val="28"/>
          <w:szCs w:val="28"/>
        </w:rPr>
        <w:t>at issue</w:t>
      </w:r>
      <w:r w:rsidR="00C20FED" w:rsidRPr="000305EB">
        <w:rPr>
          <w:sz w:val="28"/>
          <w:szCs w:val="28"/>
        </w:rPr>
        <w:t>]</w:t>
      </w:r>
      <w:r w:rsidR="006C17F3" w:rsidRPr="000305EB">
        <w:rPr>
          <w:sz w:val="28"/>
          <w:szCs w:val="28"/>
        </w:rPr>
        <w:t>;</w:t>
      </w:r>
    </w:p>
    <w:p w14:paraId="075EEFAA" w14:textId="58CC3EF0" w:rsidR="00C20FED" w:rsidRPr="000305EB" w:rsidRDefault="00C20FED" w:rsidP="000305EB">
      <w:pPr>
        <w:pStyle w:val="center"/>
        <w:spacing w:before="0" w:line="360" w:lineRule="auto"/>
        <w:ind w:left="1440" w:right="720" w:hanging="720"/>
        <w:jc w:val="both"/>
        <w:rPr>
          <w:sz w:val="28"/>
          <w:szCs w:val="28"/>
        </w:rPr>
      </w:pPr>
      <w:r w:rsidRPr="000305EB">
        <w:rPr>
          <w:sz w:val="28"/>
          <w:szCs w:val="28"/>
        </w:rPr>
        <w:t>(2)</w:t>
      </w:r>
      <w:r w:rsidRPr="000305EB">
        <w:rPr>
          <w:sz w:val="28"/>
          <w:szCs w:val="28"/>
        </w:rPr>
        <w:tab/>
      </w:r>
      <w:proofErr w:type="gramStart"/>
      <w:r w:rsidRPr="000305EB">
        <w:rPr>
          <w:sz w:val="28"/>
          <w:szCs w:val="28"/>
        </w:rPr>
        <w:t>the</w:t>
      </w:r>
      <w:proofErr w:type="gramEnd"/>
      <w:r w:rsidRPr="000305EB">
        <w:rPr>
          <w:sz w:val="28"/>
          <w:szCs w:val="28"/>
        </w:rPr>
        <w:t xml:space="preserve"> </w:t>
      </w:r>
      <w:r w:rsidR="00D640A3" w:rsidRPr="000305EB">
        <w:rPr>
          <w:sz w:val="28"/>
          <w:szCs w:val="28"/>
        </w:rPr>
        <w:t>[</w:t>
      </w:r>
      <w:r w:rsidR="002D328D" w:rsidRPr="000305EB">
        <w:rPr>
          <w:sz w:val="28"/>
          <w:szCs w:val="28"/>
        </w:rPr>
        <w:t xml:space="preserve">insert </w:t>
      </w:r>
      <w:r w:rsidR="00861DDB" w:rsidRPr="000305EB">
        <w:rPr>
          <w:sz w:val="28"/>
          <w:szCs w:val="28"/>
        </w:rPr>
        <w:t xml:space="preserve">alleged </w:t>
      </w:r>
      <w:r w:rsidR="00D640A3" w:rsidRPr="000305EB">
        <w:rPr>
          <w:sz w:val="28"/>
          <w:szCs w:val="28"/>
        </w:rPr>
        <w:t>violation of AS 45.50.471(b)]</w:t>
      </w:r>
      <w:r w:rsidR="00807BB9" w:rsidRPr="000305EB">
        <w:rPr>
          <w:sz w:val="28"/>
          <w:szCs w:val="28"/>
        </w:rPr>
        <w:t xml:space="preserve"> occurred in </w:t>
      </w:r>
      <w:r w:rsidR="00DD5EF7" w:rsidRPr="000305EB">
        <w:rPr>
          <w:sz w:val="28"/>
          <w:szCs w:val="28"/>
        </w:rPr>
        <w:t>[</w:t>
      </w:r>
      <w:r w:rsidR="00807BB9" w:rsidRPr="000305EB">
        <w:rPr>
          <w:sz w:val="28"/>
          <w:szCs w:val="28"/>
        </w:rPr>
        <w:t>defendant’s</w:t>
      </w:r>
      <w:r w:rsidR="00DD5EF7" w:rsidRPr="000305EB">
        <w:rPr>
          <w:sz w:val="28"/>
          <w:szCs w:val="28"/>
        </w:rPr>
        <w:t>]</w:t>
      </w:r>
      <w:r w:rsidR="00807BB9" w:rsidRPr="000305EB">
        <w:rPr>
          <w:sz w:val="28"/>
          <w:szCs w:val="28"/>
        </w:rPr>
        <w:t xml:space="preserve"> conduct of trade or commerce</w:t>
      </w:r>
      <w:r w:rsidRPr="000305EB">
        <w:rPr>
          <w:sz w:val="28"/>
          <w:szCs w:val="28"/>
        </w:rPr>
        <w:t xml:space="preserve">; and </w:t>
      </w:r>
    </w:p>
    <w:p w14:paraId="5E8CACFD" w14:textId="234257FC" w:rsidR="00B924AB" w:rsidRDefault="00C20FED" w:rsidP="000305EB">
      <w:pPr>
        <w:pStyle w:val="center"/>
        <w:spacing w:before="0" w:line="360" w:lineRule="auto"/>
        <w:ind w:left="1440" w:right="720" w:hanging="720"/>
        <w:jc w:val="both"/>
        <w:rPr>
          <w:sz w:val="28"/>
          <w:szCs w:val="28"/>
        </w:rPr>
      </w:pPr>
      <w:r w:rsidRPr="000305EB">
        <w:rPr>
          <w:sz w:val="28"/>
          <w:szCs w:val="28"/>
        </w:rPr>
        <w:t xml:space="preserve">(3) </w:t>
      </w:r>
      <w:r w:rsidRPr="000305EB">
        <w:rPr>
          <w:sz w:val="28"/>
          <w:szCs w:val="28"/>
        </w:rPr>
        <w:tab/>
      </w:r>
      <w:r w:rsidR="00DD5EF7" w:rsidRPr="000305EB">
        <w:rPr>
          <w:sz w:val="28"/>
          <w:szCs w:val="28"/>
        </w:rPr>
        <w:t>[</w:t>
      </w:r>
      <w:proofErr w:type="gramStart"/>
      <w:r w:rsidRPr="000305EB">
        <w:rPr>
          <w:sz w:val="28"/>
          <w:szCs w:val="28"/>
        </w:rPr>
        <w:t>plaintiff</w:t>
      </w:r>
      <w:proofErr w:type="gramEnd"/>
      <w:r w:rsidR="00DD5EF7" w:rsidRPr="000305EB">
        <w:rPr>
          <w:sz w:val="28"/>
          <w:szCs w:val="28"/>
        </w:rPr>
        <w:t>]</w:t>
      </w:r>
      <w:r w:rsidRPr="000305EB">
        <w:rPr>
          <w:sz w:val="28"/>
          <w:szCs w:val="28"/>
        </w:rPr>
        <w:t xml:space="preserve"> suffered an ascertainable loss of money or property as a result of </w:t>
      </w:r>
      <w:r w:rsidR="00D640A3" w:rsidRPr="000305EB">
        <w:rPr>
          <w:sz w:val="28"/>
          <w:szCs w:val="28"/>
        </w:rPr>
        <w:t>[</w:t>
      </w:r>
      <w:r w:rsidR="002D328D" w:rsidRPr="000305EB">
        <w:rPr>
          <w:sz w:val="28"/>
          <w:szCs w:val="28"/>
        </w:rPr>
        <w:t xml:space="preserve">insert </w:t>
      </w:r>
      <w:r w:rsidR="00861DDB" w:rsidRPr="000305EB">
        <w:rPr>
          <w:sz w:val="28"/>
          <w:szCs w:val="28"/>
        </w:rPr>
        <w:t>all</w:t>
      </w:r>
      <w:r w:rsidR="00B924AB" w:rsidRPr="000305EB">
        <w:rPr>
          <w:sz w:val="28"/>
          <w:szCs w:val="28"/>
        </w:rPr>
        <w:t>e</w:t>
      </w:r>
      <w:r w:rsidR="00861DDB" w:rsidRPr="000305EB">
        <w:rPr>
          <w:sz w:val="28"/>
          <w:szCs w:val="28"/>
        </w:rPr>
        <w:t xml:space="preserve">ged </w:t>
      </w:r>
      <w:r w:rsidR="00D640A3" w:rsidRPr="000305EB">
        <w:rPr>
          <w:sz w:val="28"/>
          <w:szCs w:val="28"/>
        </w:rPr>
        <w:t>violation of AS 45.50.471(b)].</w:t>
      </w:r>
    </w:p>
    <w:p w14:paraId="121171D8" w14:textId="77777777" w:rsidR="000305EB" w:rsidRDefault="000305EB" w:rsidP="000305EB">
      <w:pPr>
        <w:pStyle w:val="center"/>
        <w:spacing w:before="0" w:line="360" w:lineRule="auto"/>
        <w:ind w:left="1440" w:right="720" w:hanging="720"/>
        <w:jc w:val="both"/>
        <w:rPr>
          <w:sz w:val="28"/>
          <w:szCs w:val="28"/>
        </w:rPr>
      </w:pPr>
    </w:p>
    <w:p w14:paraId="1FD68133" w14:textId="796AFE00" w:rsidR="00C20FED" w:rsidRPr="000305EB" w:rsidRDefault="00266FF4" w:rsidP="00B36C95">
      <w:pPr>
        <w:pStyle w:val="center"/>
        <w:spacing w:before="0" w:line="240" w:lineRule="auto"/>
        <w:ind w:right="720"/>
        <w:rPr>
          <w:b/>
          <w:sz w:val="28"/>
          <w:szCs w:val="28"/>
          <w:u w:val="single"/>
        </w:rPr>
      </w:pPr>
      <w:r w:rsidRPr="000305EB">
        <w:rPr>
          <w:b/>
          <w:sz w:val="28"/>
          <w:szCs w:val="28"/>
          <w:u w:val="single"/>
        </w:rPr>
        <w:t>Use Note</w:t>
      </w:r>
    </w:p>
    <w:p w14:paraId="19EF82E3" w14:textId="77777777" w:rsidR="003D3F3A" w:rsidRPr="000305EB" w:rsidRDefault="003D3F3A" w:rsidP="00121FFB">
      <w:pPr>
        <w:tabs>
          <w:tab w:val="left" w:pos="720"/>
        </w:tabs>
        <w:jc w:val="both"/>
        <w:rPr>
          <w:sz w:val="28"/>
          <w:szCs w:val="28"/>
        </w:rPr>
      </w:pPr>
    </w:p>
    <w:p w14:paraId="0353EEAB" w14:textId="70AE68D4" w:rsidR="00AB2C57" w:rsidRPr="000305EB" w:rsidRDefault="00C20FED" w:rsidP="00121FFB">
      <w:pPr>
        <w:tabs>
          <w:tab w:val="left" w:pos="720"/>
        </w:tabs>
        <w:jc w:val="both"/>
        <w:rPr>
          <w:sz w:val="28"/>
          <w:szCs w:val="28"/>
        </w:rPr>
      </w:pPr>
      <w:r w:rsidRPr="000305EB">
        <w:rPr>
          <w:sz w:val="28"/>
          <w:szCs w:val="28"/>
        </w:rPr>
        <w:t>Use t</w:t>
      </w:r>
      <w:r w:rsidR="00846EAF" w:rsidRPr="000305EB">
        <w:rPr>
          <w:sz w:val="28"/>
          <w:szCs w:val="28"/>
        </w:rPr>
        <w:t xml:space="preserve">his instruction </w:t>
      </w:r>
      <w:r w:rsidR="001A7858">
        <w:rPr>
          <w:sz w:val="28"/>
          <w:szCs w:val="28"/>
        </w:rPr>
        <w:t xml:space="preserve">in an action brought under AS 45.50.531(a) </w:t>
      </w:r>
      <w:r w:rsidRPr="000305EB">
        <w:rPr>
          <w:sz w:val="28"/>
          <w:szCs w:val="28"/>
        </w:rPr>
        <w:t>when plaintiff alleges a violation of any of the subsection</w:t>
      </w:r>
      <w:r w:rsidR="00FF365A" w:rsidRPr="000305EB">
        <w:rPr>
          <w:sz w:val="28"/>
          <w:szCs w:val="28"/>
        </w:rPr>
        <w:t>s</w:t>
      </w:r>
      <w:r w:rsidRPr="000305EB">
        <w:rPr>
          <w:sz w:val="28"/>
          <w:szCs w:val="28"/>
        </w:rPr>
        <w:t xml:space="preserve"> </w:t>
      </w:r>
      <w:r w:rsidR="00FF365A" w:rsidRPr="000305EB">
        <w:rPr>
          <w:sz w:val="28"/>
          <w:szCs w:val="28"/>
        </w:rPr>
        <w:t>of</w:t>
      </w:r>
      <w:r w:rsidRPr="000305EB">
        <w:rPr>
          <w:sz w:val="28"/>
          <w:szCs w:val="28"/>
        </w:rPr>
        <w:t xml:space="preserve"> AS 45.50.471(b).  The first element of this instruction should be modified in each case to incorporate the </w:t>
      </w:r>
      <w:r w:rsidR="00861DDB" w:rsidRPr="000305EB">
        <w:rPr>
          <w:sz w:val="28"/>
          <w:szCs w:val="28"/>
        </w:rPr>
        <w:t>elements of the relevant provision(s) of AS 45.50.471(b) at issue.</w:t>
      </w:r>
      <w:r w:rsidRPr="000305EB">
        <w:rPr>
          <w:sz w:val="28"/>
          <w:szCs w:val="28"/>
        </w:rPr>
        <w:t xml:space="preserve">  </w:t>
      </w:r>
    </w:p>
    <w:p w14:paraId="5F4BCCEF" w14:textId="7A01CF20" w:rsidR="00191AB2" w:rsidRPr="000305EB" w:rsidRDefault="00191AB2" w:rsidP="00121FFB">
      <w:pPr>
        <w:tabs>
          <w:tab w:val="left" w:pos="720"/>
        </w:tabs>
        <w:jc w:val="both"/>
        <w:rPr>
          <w:sz w:val="28"/>
          <w:szCs w:val="28"/>
        </w:rPr>
      </w:pPr>
    </w:p>
    <w:p w14:paraId="32740AD1" w14:textId="5EF62B90" w:rsidR="00191AB2" w:rsidRPr="000305EB" w:rsidRDefault="00191AB2" w:rsidP="00121FFB">
      <w:pPr>
        <w:tabs>
          <w:tab w:val="left" w:pos="720"/>
        </w:tabs>
        <w:jc w:val="both"/>
        <w:rPr>
          <w:sz w:val="28"/>
          <w:szCs w:val="28"/>
        </w:rPr>
      </w:pPr>
      <w:r w:rsidRPr="000305EB">
        <w:rPr>
          <w:sz w:val="28"/>
          <w:szCs w:val="28"/>
        </w:rPr>
        <w:t>Along with Instruction 10.01B, the court should also give Instructions 10.02 and 10.04.</w:t>
      </w:r>
    </w:p>
    <w:p w14:paraId="4D1D8E58" w14:textId="77777777" w:rsidR="00AB2C57" w:rsidRPr="000305EB" w:rsidRDefault="00AB2C57" w:rsidP="00121FFB">
      <w:pPr>
        <w:tabs>
          <w:tab w:val="left" w:pos="720"/>
        </w:tabs>
        <w:jc w:val="both"/>
        <w:rPr>
          <w:sz w:val="28"/>
          <w:szCs w:val="28"/>
        </w:rPr>
      </w:pPr>
    </w:p>
    <w:p w14:paraId="14CA2E5E" w14:textId="357B9772" w:rsidR="00191AB2" w:rsidRPr="000305EB" w:rsidRDefault="00E94B7C" w:rsidP="00121FFB">
      <w:pPr>
        <w:tabs>
          <w:tab w:val="left" w:pos="720"/>
        </w:tabs>
        <w:jc w:val="both"/>
        <w:rPr>
          <w:sz w:val="28"/>
          <w:szCs w:val="28"/>
        </w:rPr>
      </w:pPr>
      <w:r w:rsidRPr="000305EB">
        <w:rPr>
          <w:sz w:val="28"/>
          <w:szCs w:val="28"/>
        </w:rPr>
        <w:t xml:space="preserve">The acts specified in AS 45.50.471(b) are </w:t>
      </w:r>
      <w:r w:rsidR="00191AB2" w:rsidRPr="000305EB">
        <w:rPr>
          <w:sz w:val="28"/>
          <w:szCs w:val="28"/>
        </w:rPr>
        <w:t xml:space="preserve">considered </w:t>
      </w:r>
      <w:r w:rsidRPr="000305EB">
        <w:rPr>
          <w:sz w:val="28"/>
          <w:szCs w:val="28"/>
        </w:rPr>
        <w:t xml:space="preserve">unfair or deceptive </w:t>
      </w:r>
      <w:r w:rsidR="00191AB2" w:rsidRPr="000305EB">
        <w:rPr>
          <w:sz w:val="28"/>
          <w:szCs w:val="28"/>
        </w:rPr>
        <w:t xml:space="preserve">as a matter of law. </w:t>
      </w:r>
      <w:r w:rsidRPr="000305EB">
        <w:rPr>
          <w:sz w:val="28"/>
          <w:szCs w:val="28"/>
        </w:rPr>
        <w:t xml:space="preserve"> Therefore, if </w:t>
      </w:r>
      <w:r w:rsidR="00861DDB" w:rsidRPr="000305EB">
        <w:rPr>
          <w:sz w:val="28"/>
          <w:szCs w:val="28"/>
        </w:rPr>
        <w:t>the court gives Instruction 10.01B</w:t>
      </w:r>
      <w:r w:rsidRPr="000305EB">
        <w:rPr>
          <w:sz w:val="28"/>
          <w:szCs w:val="28"/>
        </w:rPr>
        <w:t>, instruction</w:t>
      </w:r>
      <w:r w:rsidR="00245FB8" w:rsidRPr="000305EB">
        <w:rPr>
          <w:sz w:val="28"/>
          <w:szCs w:val="28"/>
        </w:rPr>
        <w:t>s</w:t>
      </w:r>
      <w:r w:rsidRPr="000305EB">
        <w:rPr>
          <w:sz w:val="28"/>
          <w:szCs w:val="28"/>
        </w:rPr>
        <w:t xml:space="preserve"> </w:t>
      </w:r>
      <w:r w:rsidR="003D2FFC" w:rsidRPr="000305EB">
        <w:rPr>
          <w:sz w:val="28"/>
          <w:szCs w:val="28"/>
        </w:rPr>
        <w:t>10.03</w:t>
      </w:r>
      <w:r w:rsidR="00245FB8" w:rsidRPr="000305EB">
        <w:rPr>
          <w:sz w:val="28"/>
          <w:szCs w:val="28"/>
        </w:rPr>
        <w:t xml:space="preserve">A and 10.03B </w:t>
      </w:r>
      <w:r w:rsidR="00191AB2" w:rsidRPr="000305EB">
        <w:rPr>
          <w:sz w:val="28"/>
          <w:szCs w:val="28"/>
        </w:rPr>
        <w:t>should not be given, except as described below.</w:t>
      </w:r>
    </w:p>
    <w:p w14:paraId="5A74C03D" w14:textId="24F27E31" w:rsidR="00191AB2" w:rsidRPr="000305EB" w:rsidRDefault="00191AB2" w:rsidP="00121FFB">
      <w:pPr>
        <w:tabs>
          <w:tab w:val="left" w:pos="720"/>
        </w:tabs>
        <w:jc w:val="both"/>
        <w:rPr>
          <w:sz w:val="28"/>
          <w:szCs w:val="28"/>
        </w:rPr>
      </w:pPr>
    </w:p>
    <w:p w14:paraId="60F02CF9" w14:textId="77777777" w:rsidR="00946D31" w:rsidRPr="000305EB" w:rsidRDefault="00946D31" w:rsidP="00946D31">
      <w:pPr>
        <w:tabs>
          <w:tab w:val="left" w:pos="720"/>
        </w:tabs>
        <w:jc w:val="both"/>
        <w:rPr>
          <w:sz w:val="28"/>
          <w:szCs w:val="28"/>
        </w:rPr>
      </w:pPr>
      <w:bookmarkStart w:id="1" w:name="_Hlk39146729"/>
      <w:r w:rsidRPr="000305EB">
        <w:rPr>
          <w:sz w:val="28"/>
          <w:szCs w:val="28"/>
        </w:rPr>
        <w:t xml:space="preserve">If plaintiff alleges that defendant engaged in conduct that constituted a violation of 45.50.471(a) </w:t>
      </w:r>
      <w:r w:rsidRPr="000305EB">
        <w:rPr>
          <w:sz w:val="28"/>
          <w:szCs w:val="28"/>
          <w:u w:val="single"/>
        </w:rPr>
        <w:t>and</w:t>
      </w:r>
      <w:r w:rsidRPr="000305EB">
        <w:rPr>
          <w:sz w:val="28"/>
          <w:szCs w:val="28"/>
        </w:rPr>
        <w:t xml:space="preserve"> that the defendant </w:t>
      </w:r>
      <w:r w:rsidRPr="000305EB">
        <w:rPr>
          <w:sz w:val="28"/>
          <w:szCs w:val="28"/>
          <w:u w:val="single"/>
        </w:rPr>
        <w:t>also</w:t>
      </w:r>
      <w:r w:rsidRPr="000305EB">
        <w:rPr>
          <w:sz w:val="28"/>
          <w:szCs w:val="28"/>
        </w:rPr>
        <w:t xml:space="preserve"> engaged in conduct that violated one of the specific prohibitions listed in AS 45.50.471(b), Instruction 10.01A should also be given.  In that event, Instructions 10.03A and 10.03B must be given, but they </w:t>
      </w:r>
      <w:r w:rsidRPr="000305EB">
        <w:rPr>
          <w:sz w:val="28"/>
          <w:szCs w:val="28"/>
        </w:rPr>
        <w:lastRenderedPageBreak/>
        <w:t xml:space="preserve">must be modified to explain that they do not apply to the claims that are based on AS 45.50.471(b).  </w:t>
      </w:r>
      <w:bookmarkEnd w:id="1"/>
    </w:p>
    <w:p w14:paraId="2AFEB91A" w14:textId="77777777" w:rsidR="00CC5530" w:rsidRPr="000305EB" w:rsidRDefault="00CC5530" w:rsidP="00121FFB">
      <w:pPr>
        <w:tabs>
          <w:tab w:val="left" w:pos="720"/>
        </w:tabs>
        <w:jc w:val="both"/>
        <w:rPr>
          <w:sz w:val="28"/>
          <w:szCs w:val="28"/>
        </w:rPr>
      </w:pPr>
    </w:p>
    <w:p w14:paraId="090FEFCB" w14:textId="77777777" w:rsidR="00CC5530" w:rsidRPr="000305EB" w:rsidRDefault="00CC5530" w:rsidP="00CC5530">
      <w:pPr>
        <w:tabs>
          <w:tab w:val="center" w:pos="4680"/>
        </w:tabs>
        <w:jc w:val="center"/>
        <w:rPr>
          <w:b/>
          <w:sz w:val="28"/>
          <w:szCs w:val="28"/>
        </w:rPr>
      </w:pPr>
      <w:r w:rsidRPr="000305EB">
        <w:rPr>
          <w:b/>
          <w:sz w:val="28"/>
          <w:szCs w:val="28"/>
          <w:u w:val="single"/>
        </w:rPr>
        <w:t>Comment</w:t>
      </w:r>
    </w:p>
    <w:p w14:paraId="436EEDF3" w14:textId="77777777" w:rsidR="00CC5530" w:rsidRPr="000305EB" w:rsidRDefault="00CC5530" w:rsidP="00121FFB">
      <w:pPr>
        <w:tabs>
          <w:tab w:val="left" w:pos="720"/>
        </w:tabs>
        <w:jc w:val="both"/>
        <w:rPr>
          <w:sz w:val="28"/>
          <w:szCs w:val="28"/>
          <w:u w:val="single"/>
        </w:rPr>
      </w:pPr>
    </w:p>
    <w:p w14:paraId="11AB6DC1" w14:textId="0EC24D83" w:rsidR="00CC5530" w:rsidRPr="000305EB" w:rsidRDefault="00CC5530" w:rsidP="00266FF4">
      <w:pPr>
        <w:jc w:val="both"/>
        <w:rPr>
          <w:sz w:val="28"/>
          <w:szCs w:val="28"/>
        </w:rPr>
      </w:pPr>
      <w:r w:rsidRPr="000305EB">
        <w:rPr>
          <w:sz w:val="28"/>
          <w:szCs w:val="28"/>
        </w:rPr>
        <w:t xml:space="preserve">The Alaska Supreme Court has not directly addressed the causation element of a claim based on a violation of AS 45.50.471. </w:t>
      </w:r>
      <w:r w:rsidR="002208CB" w:rsidRPr="000305EB">
        <w:rPr>
          <w:sz w:val="28"/>
          <w:szCs w:val="28"/>
        </w:rPr>
        <w:t xml:space="preserve"> </w:t>
      </w:r>
      <w:r w:rsidR="00A95E9E" w:rsidRPr="000305EB">
        <w:rPr>
          <w:sz w:val="28"/>
          <w:szCs w:val="28"/>
        </w:rPr>
        <w:t xml:space="preserve">Proof that the deceptive or unfair act caused the plaintiff’s damages is a necessary element.  </w:t>
      </w:r>
      <w:r w:rsidR="002208CB" w:rsidRPr="000305EB">
        <w:rPr>
          <w:sz w:val="28"/>
          <w:szCs w:val="28"/>
        </w:rPr>
        <w:t xml:space="preserve"> AS 45.50.531(a) grants a private right of action to a plaintiff only if the</w:t>
      </w:r>
      <w:r w:rsidR="00DD5EF7" w:rsidRPr="000305EB">
        <w:rPr>
          <w:sz w:val="28"/>
          <w:szCs w:val="28"/>
        </w:rPr>
        <w:t xml:space="preserve"> plaintiff</w:t>
      </w:r>
      <w:r w:rsidR="002208CB" w:rsidRPr="000305EB">
        <w:rPr>
          <w:sz w:val="28"/>
          <w:szCs w:val="28"/>
        </w:rPr>
        <w:t xml:space="preserve"> “suffer</w:t>
      </w:r>
      <w:r w:rsidR="00C574B4" w:rsidRPr="000305EB">
        <w:rPr>
          <w:sz w:val="28"/>
          <w:szCs w:val="28"/>
        </w:rPr>
        <w:t>[</w:t>
      </w:r>
      <w:proofErr w:type="spellStart"/>
      <w:r w:rsidR="00DD5EF7" w:rsidRPr="000305EB">
        <w:rPr>
          <w:sz w:val="28"/>
          <w:szCs w:val="28"/>
        </w:rPr>
        <w:t>ed</w:t>
      </w:r>
      <w:proofErr w:type="spellEnd"/>
      <w:r w:rsidR="00C574B4" w:rsidRPr="000305EB">
        <w:rPr>
          <w:sz w:val="28"/>
          <w:szCs w:val="28"/>
        </w:rPr>
        <w:t>]</w:t>
      </w:r>
      <w:r w:rsidR="002208CB" w:rsidRPr="000305EB">
        <w:rPr>
          <w:sz w:val="28"/>
          <w:szCs w:val="28"/>
        </w:rPr>
        <w:t xml:space="preserve"> an ascertainable loss of money or property as a result of another person's act or practice declared unlawful by AS 45.50.471.” The statute therefore requires proof that the unfair or deceptive act caused the plaintiff damage.  Moreover, the statute of limitations on a UTPA claim begins to run when the “consumer discovers or reasonably should have discovered the prohibited conduct caused a loss.”  </w:t>
      </w:r>
      <w:proofErr w:type="gramStart"/>
      <w:r w:rsidR="002208CB" w:rsidRPr="000305EB">
        <w:rPr>
          <w:i/>
          <w:sz w:val="28"/>
          <w:szCs w:val="28"/>
        </w:rPr>
        <w:t xml:space="preserve">Weimer v. </w:t>
      </w:r>
      <w:proofErr w:type="spellStart"/>
      <w:r w:rsidR="002208CB" w:rsidRPr="000305EB">
        <w:rPr>
          <w:i/>
          <w:sz w:val="28"/>
          <w:szCs w:val="28"/>
        </w:rPr>
        <w:t>Cont'l</w:t>
      </w:r>
      <w:proofErr w:type="spellEnd"/>
      <w:r w:rsidR="002208CB" w:rsidRPr="000305EB">
        <w:rPr>
          <w:i/>
          <w:sz w:val="28"/>
          <w:szCs w:val="28"/>
        </w:rPr>
        <w:t xml:space="preserve"> Car &amp; Truck, LLC</w:t>
      </w:r>
      <w:r w:rsidR="002208CB" w:rsidRPr="000305EB">
        <w:rPr>
          <w:sz w:val="28"/>
          <w:szCs w:val="28"/>
        </w:rPr>
        <w:t>, 237 P.3d 610, 615 (Alaska 2010).</w:t>
      </w:r>
      <w:proofErr w:type="gramEnd"/>
      <w:r w:rsidR="002208CB" w:rsidRPr="000305EB">
        <w:rPr>
          <w:sz w:val="28"/>
          <w:szCs w:val="28"/>
        </w:rPr>
        <w:t xml:space="preserve">  Causation is therefore a necessary element.  </w:t>
      </w:r>
      <w:r w:rsidR="002208CB" w:rsidRPr="000305EB">
        <w:rPr>
          <w:i/>
          <w:sz w:val="28"/>
          <w:szCs w:val="28"/>
        </w:rPr>
        <w:t xml:space="preserve">See also </w:t>
      </w:r>
      <w:proofErr w:type="spellStart"/>
      <w:r w:rsidR="002208CB" w:rsidRPr="000305EB">
        <w:rPr>
          <w:i/>
          <w:sz w:val="28"/>
          <w:szCs w:val="28"/>
        </w:rPr>
        <w:t>Merdes</w:t>
      </w:r>
      <w:proofErr w:type="spellEnd"/>
      <w:r w:rsidR="002208CB" w:rsidRPr="000305EB">
        <w:rPr>
          <w:i/>
          <w:sz w:val="28"/>
          <w:szCs w:val="28"/>
        </w:rPr>
        <w:t xml:space="preserve"> &amp; </w:t>
      </w:r>
      <w:proofErr w:type="spellStart"/>
      <w:r w:rsidR="002208CB" w:rsidRPr="000305EB">
        <w:rPr>
          <w:i/>
          <w:sz w:val="28"/>
          <w:szCs w:val="28"/>
        </w:rPr>
        <w:t>Merdes</w:t>
      </w:r>
      <w:proofErr w:type="spellEnd"/>
      <w:r w:rsidR="002208CB" w:rsidRPr="000305EB">
        <w:rPr>
          <w:i/>
          <w:sz w:val="28"/>
          <w:szCs w:val="28"/>
        </w:rPr>
        <w:t xml:space="preserve">, P.C. v. </w:t>
      </w:r>
      <w:proofErr w:type="spellStart"/>
      <w:r w:rsidR="002208CB" w:rsidRPr="000305EB">
        <w:rPr>
          <w:i/>
          <w:sz w:val="28"/>
          <w:szCs w:val="28"/>
        </w:rPr>
        <w:t>Leisnoi</w:t>
      </w:r>
      <w:proofErr w:type="spellEnd"/>
      <w:r w:rsidR="002208CB" w:rsidRPr="000305EB">
        <w:rPr>
          <w:i/>
          <w:sz w:val="28"/>
          <w:szCs w:val="28"/>
        </w:rPr>
        <w:t>, Inc.</w:t>
      </w:r>
      <w:r w:rsidR="002208CB" w:rsidRPr="000305EB">
        <w:rPr>
          <w:sz w:val="28"/>
          <w:szCs w:val="28"/>
        </w:rPr>
        <w:t>, 410 P.3d 398, 412 (Alaska 2017) (holding that lawyer engage</w:t>
      </w:r>
      <w:r w:rsidR="00762B0D" w:rsidRPr="000305EB">
        <w:rPr>
          <w:sz w:val="28"/>
          <w:szCs w:val="28"/>
        </w:rPr>
        <w:t>d</w:t>
      </w:r>
      <w:r w:rsidR="002208CB" w:rsidRPr="000305EB">
        <w:rPr>
          <w:sz w:val="28"/>
          <w:szCs w:val="28"/>
        </w:rPr>
        <w:t xml:space="preserve"> in unfair conduct that supported a UTPA claim in part because his conduct “caused a substantial harm by denying </w:t>
      </w:r>
      <w:proofErr w:type="spellStart"/>
      <w:r w:rsidR="002208CB" w:rsidRPr="000305EB">
        <w:rPr>
          <w:sz w:val="28"/>
          <w:szCs w:val="28"/>
        </w:rPr>
        <w:t>Leisnoi</w:t>
      </w:r>
      <w:proofErr w:type="spellEnd"/>
      <w:r w:rsidR="002208CB" w:rsidRPr="000305EB">
        <w:rPr>
          <w:sz w:val="28"/>
          <w:szCs w:val="28"/>
        </w:rPr>
        <w:t xml:space="preserve"> access to funds from which it could satisfy a valid debt. Thus, all three factors support a finding that the transfers were unfair for purposes of the UTPA.”)  The Alaska Supreme Court has impliedly r</w:t>
      </w:r>
      <w:r w:rsidRPr="000305EB">
        <w:rPr>
          <w:sz w:val="28"/>
          <w:szCs w:val="28"/>
        </w:rPr>
        <w:t xml:space="preserve">ecognized that causation is a requirement for a UTPA claim that is based on misrepresentation.  </w:t>
      </w:r>
      <w:proofErr w:type="spellStart"/>
      <w:proofErr w:type="gramStart"/>
      <w:r w:rsidRPr="000305EB">
        <w:rPr>
          <w:i/>
          <w:sz w:val="28"/>
          <w:szCs w:val="28"/>
        </w:rPr>
        <w:t>Borgen</w:t>
      </w:r>
      <w:proofErr w:type="spellEnd"/>
      <w:r w:rsidRPr="000305EB">
        <w:rPr>
          <w:i/>
          <w:sz w:val="28"/>
          <w:szCs w:val="28"/>
        </w:rPr>
        <w:t xml:space="preserve"> v.</w:t>
      </w:r>
      <w:proofErr w:type="gramEnd"/>
      <w:r w:rsidRPr="000305EB">
        <w:rPr>
          <w:i/>
          <w:sz w:val="28"/>
          <w:szCs w:val="28"/>
        </w:rPr>
        <w:t xml:space="preserve"> A &amp; M Motors, Inc.</w:t>
      </w:r>
      <w:r w:rsidRPr="000305EB">
        <w:rPr>
          <w:sz w:val="28"/>
          <w:szCs w:val="28"/>
        </w:rPr>
        <w:t>, 273 P.3d 575, 591 (Alaska 2012) (“</w:t>
      </w:r>
      <w:proofErr w:type="spellStart"/>
      <w:r w:rsidRPr="000305EB">
        <w:rPr>
          <w:sz w:val="28"/>
          <w:szCs w:val="28"/>
        </w:rPr>
        <w:t>Borgen</w:t>
      </w:r>
      <w:proofErr w:type="spellEnd"/>
      <w:r w:rsidRPr="000305EB">
        <w:rPr>
          <w:sz w:val="28"/>
          <w:szCs w:val="28"/>
        </w:rPr>
        <w:t xml:space="preserve"> is therefore correct that the elements of his case for misrepresentation under section .471 were that (1) A &amp; M Motors misrepresented the model year of the motor home by representing that it was a 2003 model when in fact it was a 2002 model; (2) that this misrepresentation was material; and (3) that it caused him damage.”)  It is consistent with general Alaska tort law to require plaintiff</w:t>
      </w:r>
      <w:r w:rsidR="00E943C6" w:rsidRPr="000305EB">
        <w:rPr>
          <w:sz w:val="28"/>
          <w:szCs w:val="28"/>
        </w:rPr>
        <w:t>s</w:t>
      </w:r>
      <w:r w:rsidRPr="000305EB">
        <w:rPr>
          <w:sz w:val="28"/>
          <w:szCs w:val="28"/>
        </w:rPr>
        <w:t xml:space="preserve"> to prove that their damages were caused by the violation of AS 45.50.471(b).  </w:t>
      </w:r>
      <w:r w:rsidRPr="000305EB">
        <w:rPr>
          <w:i/>
          <w:sz w:val="28"/>
          <w:szCs w:val="28"/>
        </w:rPr>
        <w:t>See</w:t>
      </w:r>
      <w:r w:rsidR="0073134A" w:rsidRPr="000305EB">
        <w:rPr>
          <w:i/>
          <w:sz w:val="28"/>
          <w:szCs w:val="28"/>
        </w:rPr>
        <w:t>,</w:t>
      </w:r>
      <w:r w:rsidRPr="000305EB">
        <w:rPr>
          <w:i/>
          <w:sz w:val="28"/>
          <w:szCs w:val="28"/>
        </w:rPr>
        <w:t xml:space="preserve"> e.g.</w:t>
      </w:r>
      <w:r w:rsidR="0073134A" w:rsidRPr="000305EB">
        <w:rPr>
          <w:i/>
          <w:sz w:val="28"/>
          <w:szCs w:val="28"/>
        </w:rPr>
        <w:t>,</w:t>
      </w:r>
      <w:r w:rsidRPr="000305EB">
        <w:rPr>
          <w:i/>
          <w:sz w:val="28"/>
          <w:szCs w:val="28"/>
        </w:rPr>
        <w:t xml:space="preserve"> Ferrell v. Baxter</w:t>
      </w:r>
      <w:r w:rsidRPr="000305EB">
        <w:rPr>
          <w:sz w:val="28"/>
          <w:szCs w:val="28"/>
        </w:rPr>
        <w:t xml:space="preserve">, 484 P.2d 250, 259 (Alaska 1971) (violation of statute may establish defendant was negligent; causation </w:t>
      </w:r>
      <w:r w:rsidR="00E943C6" w:rsidRPr="000305EB">
        <w:rPr>
          <w:sz w:val="28"/>
          <w:szCs w:val="28"/>
        </w:rPr>
        <w:t xml:space="preserve">is </w:t>
      </w:r>
      <w:r w:rsidRPr="000305EB">
        <w:rPr>
          <w:sz w:val="28"/>
          <w:szCs w:val="28"/>
        </w:rPr>
        <w:t xml:space="preserve">a separate issue). </w:t>
      </w:r>
    </w:p>
    <w:p w14:paraId="789E3CDB" w14:textId="77777777" w:rsidR="00CC5530" w:rsidRPr="000305EB" w:rsidRDefault="00CC5530" w:rsidP="00CC5530">
      <w:pPr>
        <w:tabs>
          <w:tab w:val="left" w:pos="720"/>
        </w:tabs>
        <w:jc w:val="both"/>
        <w:rPr>
          <w:sz w:val="28"/>
          <w:szCs w:val="28"/>
          <w:u w:val="single"/>
        </w:rPr>
      </w:pPr>
    </w:p>
    <w:p w14:paraId="6991A327" w14:textId="77777777" w:rsidR="00CC5530" w:rsidRPr="000305EB" w:rsidRDefault="00CC5530" w:rsidP="00CC5530">
      <w:pPr>
        <w:tabs>
          <w:tab w:val="left" w:pos="720"/>
        </w:tabs>
        <w:jc w:val="both"/>
        <w:rPr>
          <w:sz w:val="28"/>
          <w:szCs w:val="28"/>
          <w:u w:val="single"/>
        </w:rPr>
      </w:pPr>
    </w:p>
    <w:p w14:paraId="132D0A47" w14:textId="77777777" w:rsidR="00CC5530" w:rsidRPr="000305EB" w:rsidRDefault="00CC5530" w:rsidP="00CC5530">
      <w:pPr>
        <w:tabs>
          <w:tab w:val="left" w:pos="720"/>
        </w:tabs>
        <w:jc w:val="both"/>
        <w:rPr>
          <w:sz w:val="28"/>
          <w:szCs w:val="28"/>
          <w:u w:val="single"/>
        </w:rPr>
      </w:pPr>
    </w:p>
    <w:sectPr w:rsidR="00CC5530" w:rsidRPr="000305EB" w:rsidSect="0031543D">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8B9B0" w14:textId="77777777" w:rsidR="008F42DF" w:rsidRDefault="008F42DF">
      <w:r>
        <w:separator/>
      </w:r>
    </w:p>
  </w:endnote>
  <w:endnote w:type="continuationSeparator" w:id="0">
    <w:p w14:paraId="4E9CA433" w14:textId="77777777" w:rsidR="008F42DF" w:rsidRDefault="008F4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D2A2C" w14:textId="77777777" w:rsidR="00E74878" w:rsidRDefault="00E7487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522643"/>
      <w:docPartObj>
        <w:docPartGallery w:val="Page Numbers (Bottom of Page)"/>
        <w:docPartUnique/>
      </w:docPartObj>
    </w:sdtPr>
    <w:sdtEndPr/>
    <w:sdtContent>
      <w:sdt>
        <w:sdtPr>
          <w:id w:val="98381352"/>
          <w:docPartObj>
            <w:docPartGallery w:val="Page Numbers (Top of Page)"/>
            <w:docPartUnique/>
          </w:docPartObj>
        </w:sdtPr>
        <w:sdtEndPr/>
        <w:sdtContent>
          <w:p w14:paraId="753DE5E1" w14:textId="3E94BF2E" w:rsidR="0031543D" w:rsidRDefault="00D8344D" w:rsidP="00D8344D">
            <w:pPr>
              <w:pStyle w:val="Footer"/>
              <w:tabs>
                <w:tab w:val="clear" w:pos="8640"/>
              </w:tabs>
            </w:pPr>
            <w:r w:rsidRPr="00D8344D">
              <w:rPr>
                <w:sz w:val="22"/>
                <w:szCs w:val="22"/>
              </w:rPr>
              <w:t>Revised 2020</w:t>
            </w:r>
            <w:r>
              <w:rPr>
                <w:sz w:val="22"/>
                <w:szCs w:val="22"/>
              </w:rPr>
              <w:tab/>
            </w:r>
            <w:r>
              <w:rPr>
                <w:sz w:val="22"/>
                <w:szCs w:val="22"/>
              </w:rPr>
              <w:tab/>
            </w:r>
            <w:r>
              <w:rPr>
                <w:sz w:val="22"/>
                <w:szCs w:val="22"/>
              </w:rPr>
              <w:tab/>
            </w:r>
            <w:r>
              <w:rPr>
                <w:sz w:val="22"/>
                <w:szCs w:val="22"/>
              </w:rPr>
              <w:tab/>
            </w:r>
            <w:r>
              <w:rPr>
                <w:sz w:val="22"/>
                <w:szCs w:val="22"/>
              </w:rPr>
              <w:tab/>
              <w:t xml:space="preserve">      10.01B - </w:t>
            </w:r>
            <w:r w:rsidR="0031543D" w:rsidRPr="00D8344D">
              <w:rPr>
                <w:sz w:val="22"/>
                <w:szCs w:val="22"/>
              </w:rPr>
              <w:t xml:space="preserve">Page </w:t>
            </w:r>
            <w:r w:rsidR="0031543D" w:rsidRPr="00D8344D">
              <w:rPr>
                <w:bCs/>
                <w:sz w:val="22"/>
                <w:szCs w:val="22"/>
              </w:rPr>
              <w:fldChar w:fldCharType="begin"/>
            </w:r>
            <w:r w:rsidR="0031543D" w:rsidRPr="00D8344D">
              <w:rPr>
                <w:bCs/>
                <w:sz w:val="22"/>
                <w:szCs w:val="22"/>
              </w:rPr>
              <w:instrText xml:space="preserve"> PAGE </w:instrText>
            </w:r>
            <w:r w:rsidR="0031543D" w:rsidRPr="00D8344D">
              <w:rPr>
                <w:bCs/>
                <w:sz w:val="22"/>
                <w:szCs w:val="22"/>
              </w:rPr>
              <w:fldChar w:fldCharType="separate"/>
            </w:r>
            <w:r w:rsidR="00AF376C">
              <w:rPr>
                <w:bCs/>
                <w:noProof/>
                <w:sz w:val="22"/>
                <w:szCs w:val="22"/>
              </w:rPr>
              <w:t>1</w:t>
            </w:r>
            <w:r w:rsidR="0031543D" w:rsidRPr="00D8344D">
              <w:rPr>
                <w:bCs/>
                <w:sz w:val="22"/>
                <w:szCs w:val="22"/>
              </w:rPr>
              <w:fldChar w:fldCharType="end"/>
            </w:r>
            <w:r w:rsidR="0031543D" w:rsidRPr="00D8344D">
              <w:rPr>
                <w:sz w:val="22"/>
                <w:szCs w:val="22"/>
              </w:rPr>
              <w:t xml:space="preserve"> of </w:t>
            </w:r>
            <w:r w:rsidR="0031543D" w:rsidRPr="00D8344D">
              <w:rPr>
                <w:bCs/>
                <w:sz w:val="22"/>
                <w:szCs w:val="22"/>
              </w:rPr>
              <w:fldChar w:fldCharType="begin"/>
            </w:r>
            <w:r w:rsidR="0031543D" w:rsidRPr="00D8344D">
              <w:rPr>
                <w:bCs/>
                <w:sz w:val="22"/>
                <w:szCs w:val="22"/>
              </w:rPr>
              <w:instrText xml:space="preserve"> NUMPAGES  </w:instrText>
            </w:r>
            <w:r w:rsidR="0031543D" w:rsidRPr="00D8344D">
              <w:rPr>
                <w:bCs/>
                <w:sz w:val="22"/>
                <w:szCs w:val="22"/>
              </w:rPr>
              <w:fldChar w:fldCharType="separate"/>
            </w:r>
            <w:r w:rsidR="00AF376C">
              <w:rPr>
                <w:bCs/>
                <w:noProof/>
                <w:sz w:val="22"/>
                <w:szCs w:val="22"/>
              </w:rPr>
              <w:t>2</w:t>
            </w:r>
            <w:r w:rsidR="0031543D" w:rsidRPr="00D8344D">
              <w:rPr>
                <w:bCs/>
                <w:sz w:val="22"/>
                <w:szCs w:val="22"/>
              </w:rPr>
              <w:fldChar w:fldCharType="end"/>
            </w:r>
          </w:p>
        </w:sdtContent>
      </w:sdt>
    </w:sdtContent>
  </w:sdt>
  <w:p w14:paraId="390E539A" w14:textId="0D5417A3" w:rsidR="003C1F85" w:rsidRPr="000305EB" w:rsidRDefault="003C1F85" w:rsidP="000305E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1C9429" w14:textId="77777777" w:rsidR="00E74878" w:rsidRDefault="00E748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D4823E" w14:textId="77777777" w:rsidR="008F42DF" w:rsidRDefault="008F42DF">
      <w:r>
        <w:separator/>
      </w:r>
    </w:p>
  </w:footnote>
  <w:footnote w:type="continuationSeparator" w:id="0">
    <w:p w14:paraId="5DE865CA" w14:textId="77777777" w:rsidR="008F42DF" w:rsidRDefault="008F4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D3E3F7" w14:textId="77777777" w:rsidR="00E74878" w:rsidRDefault="00E7487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8BD98F" w14:textId="77777777" w:rsidR="00E74878" w:rsidRDefault="00E7487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826064" w14:textId="77777777" w:rsidR="00E74878" w:rsidRDefault="00E748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0"/>
    <w:name w:val="AutoList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nsid w:val="00000005"/>
    <w:multiLevelType w:val="multilevel"/>
    <w:tmpl w:val="00000000"/>
    <w:name w:val="AutoList14"/>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2">
    <w:nsid w:val="00000007"/>
    <w:multiLevelType w:val="multilevel"/>
    <w:tmpl w:val="00000000"/>
    <w:name w:val="AutoList15"/>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3">
    <w:nsid w:val="00000008"/>
    <w:multiLevelType w:val="multilevel"/>
    <w:tmpl w:val="00000000"/>
    <w:name w:val="AutoList16"/>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abstractNum w:abstractNumId="4">
    <w:nsid w:val="00000009"/>
    <w:multiLevelType w:val="multilevel"/>
    <w:tmpl w:val="00000000"/>
    <w:name w:val="AutoList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nsid w:val="0000000A"/>
    <w:multiLevelType w:val="multilevel"/>
    <w:tmpl w:val="00000000"/>
    <w:name w:val="AutoList18"/>
    <w:lvl w:ilvl="0">
      <w:start w:val="1"/>
      <w:numFmt w:val="upperLetter"/>
      <w:lvlText w:val="%1."/>
      <w:lvlJc w:val="left"/>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numFmt w:val="decimal"/>
      <w:lvlText w:val=""/>
      <w:lvlJc w:val="left"/>
    </w:lvl>
  </w:abstractNum>
  <w:num w:numId="1">
    <w:abstractNumId w:val="0"/>
    <w:lvlOverride w:ilvl="0">
      <w:startOverride w:val="7"/>
      <w:lvl w:ilvl="0">
        <w:start w:val="7"/>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1"/>
      <w:lvl w:ilvl="0">
        <w:start w:val="11"/>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3">
    <w:abstractNumId w:val="2"/>
    <w:lvlOverride w:ilvl="0">
      <w:startOverride w:val="6"/>
      <w:lvl w:ilvl="0">
        <w:start w:val="6"/>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
    <w:abstractNumId w:val="3"/>
    <w:lvlOverride w:ilvl="0">
      <w:startOverride w:val="7"/>
      <w:lvl w:ilvl="0">
        <w:start w:val="7"/>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5">
    <w:abstractNumId w:val="4"/>
    <w:lvlOverride w:ilvl="0">
      <w:startOverride w:val="8"/>
      <w:lvl w:ilvl="0">
        <w:start w:val="8"/>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5"/>
    <w:lvlOverride w:ilvl="0">
      <w:startOverride w:val="7"/>
      <w:lvl w:ilvl="0">
        <w:start w:val="7"/>
        <w:numFmt w:val="upperLetter"/>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eik, Jim (ANC)">
    <w15:presenceInfo w15:providerId="AD" w15:userId="S::JLeik@perkinscoie.com::55e93035-3fad-400e-8d2f-588d0d0394a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2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12B"/>
    <w:rsid w:val="00003742"/>
    <w:rsid w:val="00025A1D"/>
    <w:rsid w:val="000305EB"/>
    <w:rsid w:val="0005512B"/>
    <w:rsid w:val="00057A42"/>
    <w:rsid w:val="000827D0"/>
    <w:rsid w:val="000C0CBD"/>
    <w:rsid w:val="000F79F5"/>
    <w:rsid w:val="00121FFB"/>
    <w:rsid w:val="00191AB2"/>
    <w:rsid w:val="001A7858"/>
    <w:rsid w:val="001B572F"/>
    <w:rsid w:val="002208CB"/>
    <w:rsid w:val="00227886"/>
    <w:rsid w:val="002326E8"/>
    <w:rsid w:val="00245FB8"/>
    <w:rsid w:val="00266FF4"/>
    <w:rsid w:val="0029449E"/>
    <w:rsid w:val="002C409D"/>
    <w:rsid w:val="002D328D"/>
    <w:rsid w:val="0031543D"/>
    <w:rsid w:val="003239A8"/>
    <w:rsid w:val="0036097E"/>
    <w:rsid w:val="00372769"/>
    <w:rsid w:val="003936A6"/>
    <w:rsid w:val="003A214C"/>
    <w:rsid w:val="003B1455"/>
    <w:rsid w:val="003C1F85"/>
    <w:rsid w:val="003D2FFC"/>
    <w:rsid w:val="003D3155"/>
    <w:rsid w:val="003D3F3A"/>
    <w:rsid w:val="004312AF"/>
    <w:rsid w:val="00456231"/>
    <w:rsid w:val="004875BE"/>
    <w:rsid w:val="00500904"/>
    <w:rsid w:val="0058752A"/>
    <w:rsid w:val="005C2DF4"/>
    <w:rsid w:val="005F1DA3"/>
    <w:rsid w:val="006050D9"/>
    <w:rsid w:val="00607FC0"/>
    <w:rsid w:val="006552AC"/>
    <w:rsid w:val="006976C6"/>
    <w:rsid w:val="006A60C5"/>
    <w:rsid w:val="006C17F3"/>
    <w:rsid w:val="006C71CB"/>
    <w:rsid w:val="006D1E76"/>
    <w:rsid w:val="006E08CD"/>
    <w:rsid w:val="006E09EF"/>
    <w:rsid w:val="00714572"/>
    <w:rsid w:val="00714F7D"/>
    <w:rsid w:val="0072029E"/>
    <w:rsid w:val="007256DF"/>
    <w:rsid w:val="007310CB"/>
    <w:rsid w:val="0073134A"/>
    <w:rsid w:val="00751FE1"/>
    <w:rsid w:val="00762B0D"/>
    <w:rsid w:val="007C1642"/>
    <w:rsid w:val="007C7D9E"/>
    <w:rsid w:val="007F186B"/>
    <w:rsid w:val="00807BB9"/>
    <w:rsid w:val="0083575A"/>
    <w:rsid w:val="00846EAF"/>
    <w:rsid w:val="00852A1E"/>
    <w:rsid w:val="00852C02"/>
    <w:rsid w:val="00861DDB"/>
    <w:rsid w:val="00881391"/>
    <w:rsid w:val="008C17A0"/>
    <w:rsid w:val="008F42DF"/>
    <w:rsid w:val="00900620"/>
    <w:rsid w:val="00946D31"/>
    <w:rsid w:val="00971857"/>
    <w:rsid w:val="00985E9B"/>
    <w:rsid w:val="009C5A2F"/>
    <w:rsid w:val="009C6380"/>
    <w:rsid w:val="009D6287"/>
    <w:rsid w:val="00A15174"/>
    <w:rsid w:val="00A62584"/>
    <w:rsid w:val="00A95E9E"/>
    <w:rsid w:val="00AB2C57"/>
    <w:rsid w:val="00AD69AD"/>
    <w:rsid w:val="00AF376C"/>
    <w:rsid w:val="00B36C95"/>
    <w:rsid w:val="00B42C89"/>
    <w:rsid w:val="00B82E73"/>
    <w:rsid w:val="00B924AB"/>
    <w:rsid w:val="00B92BAF"/>
    <w:rsid w:val="00B96365"/>
    <w:rsid w:val="00C20FED"/>
    <w:rsid w:val="00C574B4"/>
    <w:rsid w:val="00C71547"/>
    <w:rsid w:val="00CC5530"/>
    <w:rsid w:val="00D244FB"/>
    <w:rsid w:val="00D56EB0"/>
    <w:rsid w:val="00D640A3"/>
    <w:rsid w:val="00D73DDB"/>
    <w:rsid w:val="00D8344D"/>
    <w:rsid w:val="00DB5A76"/>
    <w:rsid w:val="00DD0A2E"/>
    <w:rsid w:val="00DD5EF7"/>
    <w:rsid w:val="00E0113C"/>
    <w:rsid w:val="00E04819"/>
    <w:rsid w:val="00E07E76"/>
    <w:rsid w:val="00E22ECB"/>
    <w:rsid w:val="00E50F5D"/>
    <w:rsid w:val="00E74878"/>
    <w:rsid w:val="00E943C6"/>
    <w:rsid w:val="00E94B7C"/>
    <w:rsid w:val="00E97698"/>
    <w:rsid w:val="00F329B3"/>
    <w:rsid w:val="00F70C11"/>
    <w:rsid w:val="00FE72D8"/>
    <w:rsid w:val="00FF365A"/>
    <w:rsid w:val="00FF530D"/>
    <w:rsid w:val="00FF5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5C94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autoSpaceDE w:val="0"/>
      <w:autoSpaceDN w:val="0"/>
      <w:adjustRightInd w:val="0"/>
      <w:jc w:val="center"/>
      <w:outlineLvl w:val="0"/>
    </w:pPr>
    <w:rPr>
      <w:rFonts w:ascii="Courier New" w:hAnsi="Courier New"/>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enter">
    <w:name w:val="center"/>
    <w:basedOn w:val="Normal"/>
    <w:pPr>
      <w:keepLines/>
      <w:widowControl/>
      <w:spacing w:before="240" w:line="240" w:lineRule="atLeast"/>
      <w:jc w:val="center"/>
    </w:pPr>
    <w:rPr>
      <w:snapToGrid/>
      <w:sz w:val="26"/>
    </w:rPr>
  </w:style>
  <w:style w:type="character" w:styleId="Strong">
    <w:name w:val="Strong"/>
    <w:basedOn w:val="DefaultParagraphFont"/>
    <w:qFormat/>
    <w:rPr>
      <w:b/>
    </w:rPr>
  </w:style>
  <w:style w:type="character" w:styleId="Hyperlink">
    <w:name w:val="Hyperlink"/>
    <w:basedOn w:val="DefaultParagraphFont"/>
    <w:rPr>
      <w:color w:val="0000FF"/>
      <w:u w:val="single"/>
    </w:rPr>
  </w:style>
  <w:style w:type="paragraph" w:customStyle="1" w:styleId="Level1">
    <w:name w:val="Level 1"/>
    <w:basedOn w:val="Normal"/>
    <w:pPr>
      <w:tabs>
        <w:tab w:val="num" w:pos="360"/>
      </w:tabs>
      <w:autoSpaceDE w:val="0"/>
      <w:autoSpaceDN w:val="0"/>
      <w:adjustRightInd w:val="0"/>
      <w:ind w:left="1440" w:hanging="720"/>
      <w:outlineLvl w:val="0"/>
    </w:pPr>
    <w:rPr>
      <w:snapToGrid/>
    </w:rPr>
  </w:style>
  <w:style w:type="paragraph" w:styleId="Header">
    <w:name w:val="header"/>
    <w:basedOn w:val="Normal"/>
    <w:pPr>
      <w:tabs>
        <w:tab w:val="center" w:pos="4320"/>
        <w:tab w:val="right" w:pos="8640"/>
      </w:tabs>
      <w:autoSpaceDE w:val="0"/>
      <w:autoSpaceDN w:val="0"/>
      <w:adjustRightInd w:val="0"/>
    </w:pPr>
    <w:rPr>
      <w:snapToGrid/>
    </w:rPr>
  </w:style>
  <w:style w:type="paragraph" w:styleId="BodyTextIndent">
    <w:name w:val="Body Text Indent"/>
    <w:basedOn w:val="Normal"/>
    <w:pPr>
      <w:autoSpaceDE w:val="0"/>
      <w:autoSpaceDN w:val="0"/>
      <w:adjustRightInd w:val="0"/>
      <w:ind w:firstLine="720"/>
    </w:pPr>
    <w:rPr>
      <w:rFonts w:ascii="Courier New" w:hAnsi="Courier New"/>
      <w:b/>
      <w:snapToGrid/>
    </w:rPr>
  </w:style>
  <w:style w:type="paragraph" w:styleId="BodyTextIndent2">
    <w:name w:val="Body Text Indent 2"/>
    <w:basedOn w:val="Normal"/>
    <w:pPr>
      <w:autoSpaceDE w:val="0"/>
      <w:autoSpaceDN w:val="0"/>
      <w:adjustRightInd w:val="0"/>
      <w:ind w:firstLine="720"/>
    </w:pPr>
    <w:rPr>
      <w:snapToGrid/>
    </w:rPr>
  </w:style>
  <w:style w:type="paragraph" w:styleId="BodyTextIndent3">
    <w:name w:val="Body Text Indent 3"/>
    <w:basedOn w:val="Normal"/>
    <w:pPr>
      <w:autoSpaceDE w:val="0"/>
      <w:autoSpaceDN w:val="0"/>
      <w:adjustRightInd w:val="0"/>
      <w:ind w:left="720"/>
    </w:pPr>
    <w:rPr>
      <w:snapToGrid/>
    </w:rPr>
  </w:style>
  <w:style w:type="paragraph" w:styleId="BodyText">
    <w:name w:val="Body Text"/>
    <w:basedOn w:val="Normal"/>
    <w:pPr>
      <w:autoSpaceDE w:val="0"/>
      <w:autoSpaceDN w:val="0"/>
      <w:adjustRightInd w:val="0"/>
    </w:pPr>
    <w:rPr>
      <w:b/>
      <w:snapToGrid/>
    </w:rPr>
  </w:style>
  <w:style w:type="paragraph" w:styleId="Footer">
    <w:name w:val="footer"/>
    <w:basedOn w:val="Normal"/>
    <w:link w:val="FooterChar"/>
    <w:uiPriority w:val="99"/>
    <w:rsid w:val="005C2DF4"/>
    <w:pPr>
      <w:tabs>
        <w:tab w:val="center" w:pos="4320"/>
        <w:tab w:val="right" w:pos="8640"/>
      </w:tabs>
    </w:pPr>
  </w:style>
  <w:style w:type="character" w:styleId="PageNumber">
    <w:name w:val="page number"/>
    <w:basedOn w:val="DefaultParagraphFont"/>
    <w:rsid w:val="005C2DF4"/>
  </w:style>
  <w:style w:type="paragraph" w:styleId="BalloonText">
    <w:name w:val="Balloon Text"/>
    <w:basedOn w:val="Normal"/>
    <w:link w:val="BalloonTextChar"/>
    <w:uiPriority w:val="99"/>
    <w:semiHidden/>
    <w:unhideWhenUsed/>
    <w:rsid w:val="002D32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28D"/>
    <w:rPr>
      <w:rFonts w:ascii="Segoe UI" w:hAnsi="Segoe UI" w:cs="Segoe UI"/>
      <w:snapToGrid w:val="0"/>
      <w:sz w:val="18"/>
      <w:szCs w:val="18"/>
    </w:rPr>
  </w:style>
  <w:style w:type="character" w:customStyle="1" w:styleId="FooterChar">
    <w:name w:val="Footer Char"/>
    <w:basedOn w:val="DefaultParagraphFont"/>
    <w:link w:val="Footer"/>
    <w:uiPriority w:val="99"/>
    <w:rsid w:val="0031543D"/>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autoSpaceDE w:val="0"/>
      <w:autoSpaceDN w:val="0"/>
      <w:adjustRightInd w:val="0"/>
      <w:jc w:val="center"/>
      <w:outlineLvl w:val="0"/>
    </w:pPr>
    <w:rPr>
      <w:rFonts w:ascii="Courier New" w:hAnsi="Courier New"/>
      <w:b/>
      <w:snapToGr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center">
    <w:name w:val="center"/>
    <w:basedOn w:val="Normal"/>
    <w:pPr>
      <w:keepLines/>
      <w:widowControl/>
      <w:spacing w:before="240" w:line="240" w:lineRule="atLeast"/>
      <w:jc w:val="center"/>
    </w:pPr>
    <w:rPr>
      <w:snapToGrid/>
      <w:sz w:val="26"/>
    </w:rPr>
  </w:style>
  <w:style w:type="character" w:styleId="Strong">
    <w:name w:val="Strong"/>
    <w:basedOn w:val="DefaultParagraphFont"/>
    <w:qFormat/>
    <w:rPr>
      <w:b/>
    </w:rPr>
  </w:style>
  <w:style w:type="character" w:styleId="Hyperlink">
    <w:name w:val="Hyperlink"/>
    <w:basedOn w:val="DefaultParagraphFont"/>
    <w:rPr>
      <w:color w:val="0000FF"/>
      <w:u w:val="single"/>
    </w:rPr>
  </w:style>
  <w:style w:type="paragraph" w:customStyle="1" w:styleId="Level1">
    <w:name w:val="Level 1"/>
    <w:basedOn w:val="Normal"/>
    <w:pPr>
      <w:tabs>
        <w:tab w:val="num" w:pos="360"/>
      </w:tabs>
      <w:autoSpaceDE w:val="0"/>
      <w:autoSpaceDN w:val="0"/>
      <w:adjustRightInd w:val="0"/>
      <w:ind w:left="1440" w:hanging="720"/>
      <w:outlineLvl w:val="0"/>
    </w:pPr>
    <w:rPr>
      <w:snapToGrid/>
    </w:rPr>
  </w:style>
  <w:style w:type="paragraph" w:styleId="Header">
    <w:name w:val="header"/>
    <w:basedOn w:val="Normal"/>
    <w:pPr>
      <w:tabs>
        <w:tab w:val="center" w:pos="4320"/>
        <w:tab w:val="right" w:pos="8640"/>
      </w:tabs>
      <w:autoSpaceDE w:val="0"/>
      <w:autoSpaceDN w:val="0"/>
      <w:adjustRightInd w:val="0"/>
    </w:pPr>
    <w:rPr>
      <w:snapToGrid/>
    </w:rPr>
  </w:style>
  <w:style w:type="paragraph" w:styleId="BodyTextIndent">
    <w:name w:val="Body Text Indent"/>
    <w:basedOn w:val="Normal"/>
    <w:pPr>
      <w:autoSpaceDE w:val="0"/>
      <w:autoSpaceDN w:val="0"/>
      <w:adjustRightInd w:val="0"/>
      <w:ind w:firstLine="720"/>
    </w:pPr>
    <w:rPr>
      <w:rFonts w:ascii="Courier New" w:hAnsi="Courier New"/>
      <w:b/>
      <w:snapToGrid/>
    </w:rPr>
  </w:style>
  <w:style w:type="paragraph" w:styleId="BodyTextIndent2">
    <w:name w:val="Body Text Indent 2"/>
    <w:basedOn w:val="Normal"/>
    <w:pPr>
      <w:autoSpaceDE w:val="0"/>
      <w:autoSpaceDN w:val="0"/>
      <w:adjustRightInd w:val="0"/>
      <w:ind w:firstLine="720"/>
    </w:pPr>
    <w:rPr>
      <w:snapToGrid/>
    </w:rPr>
  </w:style>
  <w:style w:type="paragraph" w:styleId="BodyTextIndent3">
    <w:name w:val="Body Text Indent 3"/>
    <w:basedOn w:val="Normal"/>
    <w:pPr>
      <w:autoSpaceDE w:val="0"/>
      <w:autoSpaceDN w:val="0"/>
      <w:adjustRightInd w:val="0"/>
      <w:ind w:left="720"/>
    </w:pPr>
    <w:rPr>
      <w:snapToGrid/>
    </w:rPr>
  </w:style>
  <w:style w:type="paragraph" w:styleId="BodyText">
    <w:name w:val="Body Text"/>
    <w:basedOn w:val="Normal"/>
    <w:pPr>
      <w:autoSpaceDE w:val="0"/>
      <w:autoSpaceDN w:val="0"/>
      <w:adjustRightInd w:val="0"/>
    </w:pPr>
    <w:rPr>
      <w:b/>
      <w:snapToGrid/>
    </w:rPr>
  </w:style>
  <w:style w:type="paragraph" w:styleId="Footer">
    <w:name w:val="footer"/>
    <w:basedOn w:val="Normal"/>
    <w:link w:val="FooterChar"/>
    <w:uiPriority w:val="99"/>
    <w:rsid w:val="005C2DF4"/>
    <w:pPr>
      <w:tabs>
        <w:tab w:val="center" w:pos="4320"/>
        <w:tab w:val="right" w:pos="8640"/>
      </w:tabs>
    </w:pPr>
  </w:style>
  <w:style w:type="character" w:styleId="PageNumber">
    <w:name w:val="page number"/>
    <w:basedOn w:val="DefaultParagraphFont"/>
    <w:rsid w:val="005C2DF4"/>
  </w:style>
  <w:style w:type="paragraph" w:styleId="BalloonText">
    <w:name w:val="Balloon Text"/>
    <w:basedOn w:val="Normal"/>
    <w:link w:val="BalloonTextChar"/>
    <w:uiPriority w:val="99"/>
    <w:semiHidden/>
    <w:unhideWhenUsed/>
    <w:rsid w:val="002D32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28D"/>
    <w:rPr>
      <w:rFonts w:ascii="Segoe UI" w:hAnsi="Segoe UI" w:cs="Segoe UI"/>
      <w:snapToGrid w:val="0"/>
      <w:sz w:val="18"/>
      <w:szCs w:val="18"/>
    </w:rPr>
  </w:style>
  <w:style w:type="character" w:customStyle="1" w:styleId="FooterChar">
    <w:name w:val="Footer Char"/>
    <w:basedOn w:val="DefaultParagraphFont"/>
    <w:link w:val="Footer"/>
    <w:uiPriority w:val="99"/>
    <w:rsid w:val="0031543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3224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3823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 Kodidine</dc:creator>
  <cp:lastModifiedBy>Sanjay Kodidine</cp:lastModifiedBy>
  <cp:revision>2</cp:revision>
  <dcterms:created xsi:type="dcterms:W3CDTF">2020-05-27T21:21:00Z</dcterms:created>
  <dcterms:modified xsi:type="dcterms:W3CDTF">2020-05-27T21:21:00Z</dcterms:modified>
</cp:coreProperties>
</file>