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1311D" w14:textId="0FD08ABD" w:rsidR="00C20FED" w:rsidRDefault="00580526" w:rsidP="00551156">
      <w:pPr>
        <w:tabs>
          <w:tab w:val="left" w:pos="1440"/>
        </w:tabs>
        <w:jc w:val="both"/>
        <w:rPr>
          <w:b/>
          <w:sz w:val="28"/>
          <w:szCs w:val="28"/>
        </w:rPr>
      </w:pPr>
      <w:bookmarkStart w:id="0" w:name="_GoBack"/>
      <w:bookmarkEnd w:id="0"/>
      <w:r w:rsidRPr="00992FD3">
        <w:rPr>
          <w:b/>
          <w:sz w:val="28"/>
          <w:szCs w:val="28"/>
        </w:rPr>
        <w:t>10.02</w:t>
      </w:r>
      <w:r w:rsidR="00846EAF" w:rsidRPr="00992FD3">
        <w:rPr>
          <w:b/>
          <w:sz w:val="28"/>
          <w:szCs w:val="28"/>
        </w:rPr>
        <w:t xml:space="preserve"> </w:t>
      </w:r>
      <w:r w:rsidR="00846EAF" w:rsidRPr="00992FD3">
        <w:rPr>
          <w:b/>
          <w:sz w:val="28"/>
          <w:szCs w:val="28"/>
        </w:rPr>
        <w:tab/>
        <w:t>“T</w:t>
      </w:r>
      <w:r w:rsidR="00286012" w:rsidRPr="00992FD3">
        <w:rPr>
          <w:b/>
          <w:sz w:val="28"/>
          <w:szCs w:val="28"/>
        </w:rPr>
        <w:t>RADE OR COMMERCE</w:t>
      </w:r>
      <w:r w:rsidR="00846EAF" w:rsidRPr="00992FD3">
        <w:rPr>
          <w:b/>
          <w:sz w:val="28"/>
          <w:szCs w:val="28"/>
        </w:rPr>
        <w:t>” D</w:t>
      </w:r>
      <w:r w:rsidR="00286012" w:rsidRPr="00992FD3">
        <w:rPr>
          <w:b/>
          <w:sz w:val="28"/>
          <w:szCs w:val="28"/>
        </w:rPr>
        <w:t>EFINED</w:t>
      </w:r>
    </w:p>
    <w:p w14:paraId="4E673DF1" w14:textId="77777777" w:rsidR="00992FD3" w:rsidRDefault="00992FD3" w:rsidP="00992FD3">
      <w:pPr>
        <w:tabs>
          <w:tab w:val="left" w:pos="720"/>
        </w:tabs>
        <w:jc w:val="both"/>
        <w:rPr>
          <w:b/>
          <w:sz w:val="28"/>
          <w:szCs w:val="28"/>
        </w:rPr>
      </w:pPr>
    </w:p>
    <w:p w14:paraId="69C012C0" w14:textId="77777777" w:rsidR="00992FD3" w:rsidRPr="00992FD3" w:rsidRDefault="00992FD3" w:rsidP="00992FD3">
      <w:pPr>
        <w:tabs>
          <w:tab w:val="left" w:pos="720"/>
        </w:tabs>
        <w:jc w:val="both"/>
        <w:rPr>
          <w:sz w:val="28"/>
          <w:szCs w:val="28"/>
        </w:rPr>
      </w:pPr>
    </w:p>
    <w:p w14:paraId="19CE6796" w14:textId="5FBC591D" w:rsidR="00C20FED" w:rsidRPr="00992FD3" w:rsidRDefault="006C71CB" w:rsidP="00551156">
      <w:pPr>
        <w:spacing w:line="360" w:lineRule="auto"/>
        <w:jc w:val="both"/>
        <w:rPr>
          <w:sz w:val="28"/>
          <w:szCs w:val="28"/>
        </w:rPr>
      </w:pPr>
      <w:r w:rsidRPr="00992FD3">
        <w:rPr>
          <w:sz w:val="28"/>
          <w:szCs w:val="28"/>
        </w:rPr>
        <w:t xml:space="preserve">Trade or commerce means advertising, offering for sale, selling, </w:t>
      </w:r>
      <w:r w:rsidR="00F70C11" w:rsidRPr="00992FD3">
        <w:rPr>
          <w:sz w:val="28"/>
          <w:szCs w:val="28"/>
        </w:rPr>
        <w:t xml:space="preserve">renting, leasing, </w:t>
      </w:r>
      <w:r w:rsidRPr="00992FD3">
        <w:rPr>
          <w:sz w:val="28"/>
          <w:szCs w:val="28"/>
        </w:rPr>
        <w:t xml:space="preserve">or distributing any services, </w:t>
      </w:r>
      <w:r w:rsidR="00020118" w:rsidRPr="00992FD3">
        <w:rPr>
          <w:sz w:val="28"/>
          <w:szCs w:val="28"/>
        </w:rPr>
        <w:t xml:space="preserve">goods, </w:t>
      </w:r>
      <w:r w:rsidRPr="00992FD3">
        <w:rPr>
          <w:sz w:val="28"/>
          <w:szCs w:val="28"/>
        </w:rPr>
        <w:t>property, or any other thing of value.</w:t>
      </w:r>
      <w:r w:rsidR="00020118" w:rsidRPr="00992FD3">
        <w:rPr>
          <w:sz w:val="28"/>
          <w:szCs w:val="28"/>
        </w:rPr>
        <w:t xml:space="preserve">  Trade or commerce includes transactions between businesses and transactions with individual customers or consumers.   </w:t>
      </w:r>
      <w:r w:rsidR="002326E8" w:rsidRPr="00992FD3">
        <w:rPr>
          <w:sz w:val="28"/>
          <w:szCs w:val="28"/>
        </w:rPr>
        <w:t xml:space="preserve"> </w:t>
      </w:r>
      <w:r w:rsidR="00F70C11" w:rsidRPr="00992FD3">
        <w:rPr>
          <w:sz w:val="28"/>
          <w:szCs w:val="28"/>
        </w:rPr>
        <w:t>[</w:t>
      </w:r>
      <w:r w:rsidR="002326E8" w:rsidRPr="00992FD3">
        <w:rPr>
          <w:sz w:val="28"/>
          <w:szCs w:val="28"/>
        </w:rPr>
        <w:t>Trade or commerce also includes the solicitation of donations or contribution</w:t>
      </w:r>
      <w:r w:rsidR="00F70C11" w:rsidRPr="00992FD3">
        <w:rPr>
          <w:sz w:val="28"/>
          <w:szCs w:val="28"/>
        </w:rPr>
        <w:t>s of money or property</w:t>
      </w:r>
      <w:r w:rsidR="002326E8" w:rsidRPr="00992FD3">
        <w:rPr>
          <w:sz w:val="28"/>
          <w:szCs w:val="28"/>
        </w:rPr>
        <w:t>.</w:t>
      </w:r>
      <w:r w:rsidR="00F70C11" w:rsidRPr="00992FD3">
        <w:rPr>
          <w:sz w:val="28"/>
          <w:szCs w:val="28"/>
        </w:rPr>
        <w:t>]</w:t>
      </w:r>
      <w:r w:rsidR="00992FD3" w:rsidRPr="00992FD3">
        <w:rPr>
          <w:sz w:val="28"/>
          <w:szCs w:val="28"/>
        </w:rPr>
        <w:t xml:space="preserve"> </w:t>
      </w:r>
    </w:p>
    <w:p w14:paraId="1E68A4CF" w14:textId="77777777" w:rsidR="00C20FED" w:rsidRDefault="00C20FED" w:rsidP="00551156">
      <w:pPr>
        <w:jc w:val="both"/>
        <w:rPr>
          <w:sz w:val="28"/>
          <w:szCs w:val="28"/>
        </w:rPr>
      </w:pPr>
    </w:p>
    <w:p w14:paraId="2F875F55" w14:textId="0ADB944F" w:rsidR="009C7485" w:rsidRPr="00992FD3" w:rsidRDefault="009C7485" w:rsidP="00283699">
      <w:pPr>
        <w:pStyle w:val="center"/>
        <w:tabs>
          <w:tab w:val="left" w:pos="9360"/>
        </w:tabs>
        <w:spacing w:before="0" w:line="240" w:lineRule="auto"/>
        <w:rPr>
          <w:b/>
          <w:sz w:val="28"/>
          <w:szCs w:val="28"/>
          <w:u w:val="single"/>
        </w:rPr>
      </w:pPr>
      <w:r w:rsidRPr="00992FD3">
        <w:rPr>
          <w:b/>
          <w:sz w:val="28"/>
          <w:szCs w:val="28"/>
          <w:u w:val="single"/>
        </w:rPr>
        <w:t>Use</w:t>
      </w:r>
      <w:r w:rsidR="00992FD3" w:rsidRPr="00992FD3">
        <w:rPr>
          <w:b/>
          <w:sz w:val="28"/>
          <w:szCs w:val="28"/>
          <w:u w:val="single"/>
        </w:rPr>
        <w:t xml:space="preserve"> Note</w:t>
      </w:r>
    </w:p>
    <w:p w14:paraId="77611A50" w14:textId="77777777" w:rsidR="00C20FED" w:rsidRPr="00992FD3" w:rsidRDefault="00C20FED" w:rsidP="00572F78">
      <w:pPr>
        <w:rPr>
          <w:sz w:val="28"/>
          <w:szCs w:val="28"/>
        </w:rPr>
      </w:pPr>
    </w:p>
    <w:p w14:paraId="633B787B" w14:textId="77777777" w:rsidR="00C20FED" w:rsidRPr="00992FD3" w:rsidRDefault="00C20FED" w:rsidP="00E91B66">
      <w:pPr>
        <w:jc w:val="both"/>
        <w:rPr>
          <w:sz w:val="28"/>
          <w:szCs w:val="28"/>
        </w:rPr>
      </w:pPr>
      <w:r w:rsidRPr="00992FD3">
        <w:rPr>
          <w:sz w:val="28"/>
          <w:szCs w:val="28"/>
        </w:rPr>
        <w:t xml:space="preserve">Use this instruction only when </w:t>
      </w:r>
      <w:r w:rsidR="007310CB" w:rsidRPr="00992FD3">
        <w:rPr>
          <w:sz w:val="28"/>
          <w:szCs w:val="28"/>
        </w:rPr>
        <w:t>there is a dispute as to whether the defendant was engaged in trade or commerce</w:t>
      </w:r>
      <w:r w:rsidRPr="00992FD3">
        <w:rPr>
          <w:sz w:val="28"/>
          <w:szCs w:val="28"/>
        </w:rPr>
        <w:t>.</w:t>
      </w:r>
      <w:r w:rsidR="00F70C11" w:rsidRPr="00992FD3">
        <w:rPr>
          <w:sz w:val="28"/>
          <w:szCs w:val="28"/>
        </w:rPr>
        <w:t xml:space="preserve"> The bracketed language should be used as appropriate.</w:t>
      </w:r>
    </w:p>
    <w:p w14:paraId="7B89E59D" w14:textId="77777777" w:rsidR="00C20FED" w:rsidRPr="00992FD3" w:rsidRDefault="00C20FED" w:rsidP="00572F78">
      <w:pPr>
        <w:rPr>
          <w:sz w:val="28"/>
          <w:szCs w:val="28"/>
        </w:rPr>
      </w:pPr>
    </w:p>
    <w:p w14:paraId="0C86E4CE" w14:textId="77777777" w:rsidR="00C20FED" w:rsidRPr="00992FD3" w:rsidRDefault="00C20FED" w:rsidP="00572F78">
      <w:pPr>
        <w:tabs>
          <w:tab w:val="center" w:pos="4680"/>
        </w:tabs>
        <w:jc w:val="center"/>
        <w:rPr>
          <w:b/>
          <w:sz w:val="28"/>
          <w:szCs w:val="28"/>
        </w:rPr>
      </w:pPr>
      <w:r w:rsidRPr="00992FD3">
        <w:rPr>
          <w:b/>
          <w:sz w:val="28"/>
          <w:szCs w:val="28"/>
          <w:u w:val="single"/>
        </w:rPr>
        <w:t>Comment</w:t>
      </w:r>
    </w:p>
    <w:p w14:paraId="2E045BD3" w14:textId="77777777" w:rsidR="00C20FED" w:rsidRPr="00992FD3" w:rsidRDefault="00C20FED" w:rsidP="00572F78">
      <w:pPr>
        <w:rPr>
          <w:sz w:val="28"/>
          <w:szCs w:val="28"/>
        </w:rPr>
      </w:pPr>
    </w:p>
    <w:p w14:paraId="78436ED6" w14:textId="5D47567A" w:rsidR="00C20FED" w:rsidRPr="00992FD3" w:rsidRDefault="00C20FED" w:rsidP="000C7695">
      <w:pPr>
        <w:jc w:val="both"/>
        <w:rPr>
          <w:sz w:val="28"/>
          <w:szCs w:val="28"/>
          <w:u w:val="single"/>
        </w:rPr>
      </w:pPr>
      <w:r w:rsidRPr="00992FD3">
        <w:rPr>
          <w:sz w:val="28"/>
          <w:szCs w:val="28"/>
        </w:rPr>
        <w:t>The Alaska Supreme Court has not stated whether the first element of a claim for unfair or deceptive trade practices, “that the defendant is engaged in trade or commerce,” presents an issue for the jury or the court, or what facts are relevant to its determination.</w:t>
      </w:r>
      <w:r w:rsidR="00D650C6" w:rsidRPr="00992FD3">
        <w:rPr>
          <w:sz w:val="28"/>
          <w:szCs w:val="28"/>
        </w:rPr>
        <w:t xml:space="preserve">  Nor has the court defined what constitutes “trade or commerce.”  </w:t>
      </w:r>
      <w:r w:rsidR="00877F99" w:rsidRPr="00992FD3">
        <w:rPr>
          <w:sz w:val="28"/>
          <w:szCs w:val="28"/>
        </w:rPr>
        <w:t xml:space="preserve">The Alaska Supreme Court has noted that the “UTPA is a remedial statute” and it has </w:t>
      </w:r>
      <w:r w:rsidR="004A74A0" w:rsidRPr="00992FD3">
        <w:rPr>
          <w:sz w:val="28"/>
          <w:szCs w:val="28"/>
        </w:rPr>
        <w:t>“</w:t>
      </w:r>
      <w:r w:rsidR="00877F99" w:rsidRPr="00992FD3">
        <w:rPr>
          <w:sz w:val="28"/>
          <w:szCs w:val="28"/>
        </w:rPr>
        <w:t xml:space="preserve">broadly construed the ‘engaged-in-commerce’ prong to encompass purchases of goods and services in business-to-business commercial transactions as well as in individual consumer transactions.”  </w:t>
      </w:r>
      <w:r w:rsidR="00877F99" w:rsidRPr="00992FD3">
        <w:rPr>
          <w:i/>
          <w:sz w:val="28"/>
          <w:szCs w:val="28"/>
        </w:rPr>
        <w:t xml:space="preserve">Alaska Interstate Const., LLC v. Pac. Diversified </w:t>
      </w:r>
      <w:proofErr w:type="gramStart"/>
      <w:r w:rsidR="00877F99" w:rsidRPr="00992FD3">
        <w:rPr>
          <w:i/>
          <w:sz w:val="28"/>
          <w:szCs w:val="28"/>
        </w:rPr>
        <w:t>Investments, Inc.</w:t>
      </w:r>
      <w:r w:rsidR="00877F99" w:rsidRPr="00992FD3">
        <w:rPr>
          <w:sz w:val="28"/>
          <w:szCs w:val="28"/>
        </w:rPr>
        <w:t>, 279 P.3d 1156, 1169</w:t>
      </w:r>
      <w:proofErr w:type="gramEnd"/>
      <w:r w:rsidR="00877F99" w:rsidRPr="00992FD3">
        <w:rPr>
          <w:sz w:val="28"/>
          <w:szCs w:val="28"/>
        </w:rPr>
        <w:t xml:space="preserve"> (Alaska 2012).  In </w:t>
      </w:r>
      <w:r w:rsidR="00877F99" w:rsidRPr="00992FD3">
        <w:rPr>
          <w:i/>
          <w:sz w:val="28"/>
          <w:szCs w:val="28"/>
        </w:rPr>
        <w:t>W</w:t>
      </w:r>
      <w:r w:rsidR="002056AD" w:rsidRPr="00992FD3">
        <w:rPr>
          <w:i/>
          <w:sz w:val="28"/>
          <w:szCs w:val="28"/>
        </w:rPr>
        <w:t>estern</w:t>
      </w:r>
      <w:r w:rsidR="00877F99" w:rsidRPr="00992FD3">
        <w:rPr>
          <w:i/>
          <w:sz w:val="28"/>
          <w:szCs w:val="28"/>
        </w:rPr>
        <w:t xml:space="preserve"> Star Trucks, Inc. v. Big Iron Equip. Serv., Inc</w:t>
      </w:r>
      <w:r w:rsidR="00877F99" w:rsidRPr="00992FD3">
        <w:rPr>
          <w:sz w:val="28"/>
          <w:szCs w:val="28"/>
        </w:rPr>
        <w:t xml:space="preserve">., 101 P.3d 1047 (Alaska 2004), the court noted that there was “nothing…in the Alaska act that could serve to limit the Alaska act to goods and services offered to the public,” and “[t]he legislative history of the act indicates that while consumer protection was the dominant motive underlying the act, the act was not intended to be limited to consumer transactions.”  </w:t>
      </w:r>
      <w:proofErr w:type="gramStart"/>
      <w:r w:rsidR="00877F99" w:rsidRPr="00992FD3">
        <w:rPr>
          <w:i/>
          <w:sz w:val="28"/>
          <w:szCs w:val="28"/>
        </w:rPr>
        <w:t>Id.</w:t>
      </w:r>
      <w:r w:rsidR="00877F99" w:rsidRPr="00992FD3">
        <w:rPr>
          <w:sz w:val="28"/>
          <w:szCs w:val="28"/>
        </w:rPr>
        <w:t xml:space="preserve"> at 1052.</w:t>
      </w:r>
      <w:proofErr w:type="gramEnd"/>
      <w:r w:rsidR="00877F99" w:rsidRPr="00992FD3">
        <w:rPr>
          <w:sz w:val="28"/>
          <w:szCs w:val="28"/>
        </w:rPr>
        <w:t xml:space="preserve">  Accordingly, the UTPA was construed to include commercial transactions, as well as consumer transactions.  </w:t>
      </w:r>
      <w:r w:rsidR="00877F99" w:rsidRPr="00992FD3">
        <w:rPr>
          <w:i/>
          <w:sz w:val="28"/>
          <w:szCs w:val="28"/>
        </w:rPr>
        <w:t xml:space="preserve">Id.  </w:t>
      </w:r>
      <w:r w:rsidR="00877F99" w:rsidRPr="00992FD3">
        <w:rPr>
          <w:sz w:val="28"/>
          <w:szCs w:val="28"/>
        </w:rPr>
        <w:t xml:space="preserve">In </w:t>
      </w:r>
      <w:r w:rsidR="00877F99" w:rsidRPr="00992FD3">
        <w:rPr>
          <w:i/>
          <w:sz w:val="28"/>
          <w:szCs w:val="28"/>
        </w:rPr>
        <w:t>Alaska Interstate Constr</w:t>
      </w:r>
      <w:r w:rsidR="002056AD" w:rsidRPr="00992FD3">
        <w:rPr>
          <w:i/>
          <w:sz w:val="28"/>
          <w:szCs w:val="28"/>
        </w:rPr>
        <w:t>uction</w:t>
      </w:r>
      <w:r w:rsidR="00877F99" w:rsidRPr="00992FD3">
        <w:rPr>
          <w:sz w:val="28"/>
          <w:szCs w:val="28"/>
        </w:rPr>
        <w:t>, the court held that “[e]</w:t>
      </w:r>
      <w:proofErr w:type="spellStart"/>
      <w:r w:rsidR="00877F99" w:rsidRPr="00992FD3">
        <w:rPr>
          <w:sz w:val="28"/>
          <w:szCs w:val="28"/>
        </w:rPr>
        <w:t>ven</w:t>
      </w:r>
      <w:proofErr w:type="spellEnd"/>
      <w:r w:rsidR="00877F99" w:rsidRPr="00992FD3">
        <w:rPr>
          <w:sz w:val="28"/>
          <w:szCs w:val="28"/>
        </w:rPr>
        <w:t xml:space="preserve"> where a party has a fiduciary relationship with a business entity, the UTPA can apply if the parties also engage in arms-length commercial transactions.”  </w:t>
      </w:r>
      <w:r w:rsidR="00877F99" w:rsidRPr="00992FD3">
        <w:rPr>
          <w:i/>
          <w:sz w:val="28"/>
          <w:szCs w:val="28"/>
        </w:rPr>
        <w:t>Id.</w:t>
      </w:r>
      <w:r w:rsidR="00877F99" w:rsidRPr="00992FD3">
        <w:rPr>
          <w:sz w:val="28"/>
          <w:szCs w:val="28"/>
        </w:rPr>
        <w:t xml:space="preserve"> at 1171-72.  </w:t>
      </w:r>
      <w:r w:rsidR="008E395E" w:rsidRPr="00992FD3">
        <w:rPr>
          <w:sz w:val="28"/>
          <w:szCs w:val="28"/>
        </w:rPr>
        <w:t xml:space="preserve">The only transactions that have been excluded from the UTPA are real estate transactions.  </w:t>
      </w:r>
      <w:proofErr w:type="gramStart"/>
      <w:r w:rsidR="008E395E" w:rsidRPr="00992FD3">
        <w:rPr>
          <w:i/>
          <w:sz w:val="28"/>
          <w:szCs w:val="28"/>
        </w:rPr>
        <w:t>State v.</w:t>
      </w:r>
      <w:proofErr w:type="gramEnd"/>
      <w:r w:rsidR="008E395E" w:rsidRPr="00992FD3">
        <w:rPr>
          <w:i/>
          <w:sz w:val="28"/>
          <w:szCs w:val="28"/>
        </w:rPr>
        <w:t xml:space="preserve"> </w:t>
      </w:r>
      <w:proofErr w:type="gramStart"/>
      <w:r w:rsidR="008E395E" w:rsidRPr="00992FD3">
        <w:rPr>
          <w:i/>
          <w:sz w:val="28"/>
          <w:szCs w:val="28"/>
        </w:rPr>
        <w:t xml:space="preserve">First </w:t>
      </w:r>
      <w:r w:rsidR="008E395E" w:rsidRPr="00992FD3">
        <w:rPr>
          <w:i/>
          <w:sz w:val="28"/>
          <w:szCs w:val="28"/>
        </w:rPr>
        <w:lastRenderedPageBreak/>
        <w:t xml:space="preserve">National Bank of Anchorage, </w:t>
      </w:r>
      <w:r w:rsidR="008E395E" w:rsidRPr="00992FD3">
        <w:rPr>
          <w:sz w:val="28"/>
          <w:szCs w:val="28"/>
        </w:rPr>
        <w:t xml:space="preserve">660 P.2d 406 (Alaska 1982); and </w:t>
      </w:r>
      <w:r w:rsidR="008E395E" w:rsidRPr="00992FD3">
        <w:rPr>
          <w:i/>
          <w:sz w:val="28"/>
          <w:szCs w:val="28"/>
        </w:rPr>
        <w:t>Aloha Lumber Corp. v. University of Alaska</w:t>
      </w:r>
      <w:r w:rsidR="008E395E" w:rsidRPr="00992FD3">
        <w:rPr>
          <w:sz w:val="28"/>
          <w:szCs w:val="28"/>
        </w:rPr>
        <w:t>, 994 P.2d 991 (Alaska 1999).</w:t>
      </w:r>
      <w:proofErr w:type="gramEnd"/>
      <w:r w:rsidR="008E395E" w:rsidRPr="00992FD3">
        <w:rPr>
          <w:sz w:val="28"/>
          <w:szCs w:val="28"/>
        </w:rPr>
        <w:t xml:space="preserve">  </w:t>
      </w:r>
      <w:r w:rsidR="008E395E" w:rsidRPr="00992FD3">
        <w:rPr>
          <w:i/>
          <w:sz w:val="28"/>
          <w:szCs w:val="28"/>
        </w:rPr>
        <w:t>Alaska Interstate Constr</w:t>
      </w:r>
      <w:r w:rsidR="002056AD" w:rsidRPr="00992FD3">
        <w:rPr>
          <w:i/>
          <w:sz w:val="28"/>
          <w:szCs w:val="28"/>
        </w:rPr>
        <w:t>.</w:t>
      </w:r>
      <w:r w:rsidR="008E395E" w:rsidRPr="00992FD3">
        <w:rPr>
          <w:sz w:val="28"/>
          <w:szCs w:val="28"/>
        </w:rPr>
        <w:t xml:space="preserve"> and </w:t>
      </w:r>
      <w:r w:rsidR="008E395E" w:rsidRPr="00992FD3">
        <w:rPr>
          <w:i/>
          <w:sz w:val="28"/>
          <w:szCs w:val="28"/>
        </w:rPr>
        <w:t>W</w:t>
      </w:r>
      <w:r w:rsidR="002056AD" w:rsidRPr="00992FD3">
        <w:rPr>
          <w:i/>
          <w:sz w:val="28"/>
          <w:szCs w:val="28"/>
        </w:rPr>
        <w:t xml:space="preserve">estern </w:t>
      </w:r>
      <w:r w:rsidR="008E395E" w:rsidRPr="00992FD3">
        <w:rPr>
          <w:i/>
          <w:sz w:val="28"/>
          <w:szCs w:val="28"/>
        </w:rPr>
        <w:t>Star Trucks, Inc.</w:t>
      </w:r>
      <w:r w:rsidR="008E395E" w:rsidRPr="00992FD3">
        <w:rPr>
          <w:sz w:val="28"/>
          <w:szCs w:val="28"/>
        </w:rPr>
        <w:t xml:space="preserve"> </w:t>
      </w:r>
      <w:r w:rsidR="00D650C6" w:rsidRPr="00992FD3">
        <w:rPr>
          <w:sz w:val="28"/>
          <w:szCs w:val="28"/>
        </w:rPr>
        <w:t xml:space="preserve">therefore </w:t>
      </w:r>
      <w:r w:rsidR="008E395E" w:rsidRPr="00992FD3">
        <w:rPr>
          <w:sz w:val="28"/>
          <w:szCs w:val="28"/>
        </w:rPr>
        <w:t xml:space="preserve">indicate </w:t>
      </w:r>
      <w:r w:rsidR="00877F99" w:rsidRPr="00992FD3">
        <w:rPr>
          <w:sz w:val="28"/>
          <w:szCs w:val="28"/>
        </w:rPr>
        <w:t>that the phrase “</w:t>
      </w:r>
      <w:r w:rsidR="008E395E" w:rsidRPr="00992FD3">
        <w:rPr>
          <w:sz w:val="28"/>
          <w:szCs w:val="28"/>
        </w:rPr>
        <w:t xml:space="preserve">trade or commerce” is to be construed broadly.  </w:t>
      </w:r>
    </w:p>
    <w:sectPr w:rsidR="00C20FED" w:rsidRPr="00992FD3" w:rsidSect="007557D2">
      <w:footerReference w:type="default" r:id="rId8"/>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BF619" w14:textId="77777777" w:rsidR="005947B9" w:rsidRDefault="005947B9">
      <w:r>
        <w:separator/>
      </w:r>
    </w:p>
  </w:endnote>
  <w:endnote w:type="continuationSeparator" w:id="0">
    <w:p w14:paraId="6BE0E7B7" w14:textId="77777777" w:rsidR="005947B9" w:rsidRDefault="0059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848720559"/>
      <w:docPartObj>
        <w:docPartGallery w:val="Page Numbers (Bottom of Page)"/>
        <w:docPartUnique/>
      </w:docPartObj>
    </w:sdtPr>
    <w:sdtEndPr/>
    <w:sdtContent>
      <w:sdt>
        <w:sdtPr>
          <w:rPr>
            <w:sz w:val="22"/>
            <w:szCs w:val="22"/>
          </w:rPr>
          <w:id w:val="98381352"/>
          <w:docPartObj>
            <w:docPartGallery w:val="Page Numbers (Top of Page)"/>
            <w:docPartUnique/>
          </w:docPartObj>
        </w:sdtPr>
        <w:sdtEndPr/>
        <w:sdtContent>
          <w:p w14:paraId="35E64739" w14:textId="37F5187E" w:rsidR="007557D2" w:rsidRPr="007557D2" w:rsidRDefault="007557D2" w:rsidP="007557D2">
            <w:pPr>
              <w:pStyle w:val="Footer"/>
              <w:tabs>
                <w:tab w:val="clear" w:pos="8640"/>
              </w:tabs>
              <w:rPr>
                <w:sz w:val="22"/>
                <w:szCs w:val="22"/>
              </w:rPr>
            </w:pPr>
            <w:r>
              <w:rPr>
                <w:sz w:val="22"/>
                <w:szCs w:val="22"/>
              </w:rPr>
              <w:t>Revised 2020</w:t>
            </w:r>
            <w:r>
              <w:rPr>
                <w:sz w:val="22"/>
                <w:szCs w:val="22"/>
              </w:rPr>
              <w:tab/>
            </w:r>
            <w:r>
              <w:rPr>
                <w:sz w:val="22"/>
                <w:szCs w:val="22"/>
              </w:rPr>
              <w:tab/>
            </w:r>
            <w:r>
              <w:rPr>
                <w:sz w:val="22"/>
                <w:szCs w:val="22"/>
              </w:rPr>
              <w:tab/>
            </w:r>
            <w:r>
              <w:rPr>
                <w:sz w:val="22"/>
                <w:szCs w:val="22"/>
              </w:rPr>
              <w:tab/>
            </w:r>
            <w:r>
              <w:rPr>
                <w:sz w:val="22"/>
                <w:szCs w:val="22"/>
              </w:rPr>
              <w:tab/>
              <w:t xml:space="preserve">        10.02 - </w:t>
            </w:r>
            <w:r w:rsidRPr="007557D2">
              <w:rPr>
                <w:sz w:val="22"/>
                <w:szCs w:val="22"/>
              </w:rPr>
              <w:t xml:space="preserve">Page </w:t>
            </w:r>
            <w:r w:rsidRPr="007557D2">
              <w:rPr>
                <w:bCs/>
                <w:sz w:val="22"/>
                <w:szCs w:val="22"/>
              </w:rPr>
              <w:fldChar w:fldCharType="begin"/>
            </w:r>
            <w:r w:rsidRPr="007557D2">
              <w:rPr>
                <w:bCs/>
                <w:sz w:val="22"/>
                <w:szCs w:val="22"/>
              </w:rPr>
              <w:instrText xml:space="preserve"> PAGE </w:instrText>
            </w:r>
            <w:r w:rsidRPr="007557D2">
              <w:rPr>
                <w:bCs/>
                <w:sz w:val="22"/>
                <w:szCs w:val="22"/>
              </w:rPr>
              <w:fldChar w:fldCharType="separate"/>
            </w:r>
            <w:r w:rsidR="00BA4753">
              <w:rPr>
                <w:bCs/>
                <w:noProof/>
                <w:sz w:val="22"/>
                <w:szCs w:val="22"/>
              </w:rPr>
              <w:t>1</w:t>
            </w:r>
            <w:r w:rsidRPr="007557D2">
              <w:rPr>
                <w:bCs/>
                <w:sz w:val="22"/>
                <w:szCs w:val="22"/>
              </w:rPr>
              <w:fldChar w:fldCharType="end"/>
            </w:r>
            <w:r w:rsidRPr="007557D2">
              <w:rPr>
                <w:sz w:val="22"/>
                <w:szCs w:val="22"/>
              </w:rPr>
              <w:t xml:space="preserve"> of </w:t>
            </w:r>
            <w:r w:rsidRPr="007557D2">
              <w:rPr>
                <w:bCs/>
                <w:sz w:val="22"/>
                <w:szCs w:val="22"/>
              </w:rPr>
              <w:fldChar w:fldCharType="begin"/>
            </w:r>
            <w:r w:rsidRPr="007557D2">
              <w:rPr>
                <w:bCs/>
                <w:sz w:val="22"/>
                <w:szCs w:val="22"/>
              </w:rPr>
              <w:instrText xml:space="preserve"> NUMPAGES  </w:instrText>
            </w:r>
            <w:r w:rsidRPr="007557D2">
              <w:rPr>
                <w:bCs/>
                <w:sz w:val="22"/>
                <w:szCs w:val="22"/>
              </w:rPr>
              <w:fldChar w:fldCharType="separate"/>
            </w:r>
            <w:r w:rsidR="00BA4753">
              <w:rPr>
                <w:bCs/>
                <w:noProof/>
                <w:sz w:val="22"/>
                <w:szCs w:val="22"/>
              </w:rPr>
              <w:t>2</w:t>
            </w:r>
            <w:r w:rsidRPr="007557D2">
              <w:rPr>
                <w:bCs/>
                <w:sz w:val="22"/>
                <w:szCs w:val="22"/>
              </w:rPr>
              <w:fldChar w:fldCharType="end"/>
            </w:r>
          </w:p>
        </w:sdtContent>
      </w:sdt>
    </w:sdtContent>
  </w:sdt>
  <w:p w14:paraId="0F6E84EA" w14:textId="295DE983" w:rsidR="00FE2262" w:rsidRPr="007557D2" w:rsidRDefault="00FE2262" w:rsidP="00755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07829" w14:textId="77777777" w:rsidR="005947B9" w:rsidRDefault="005947B9">
      <w:r>
        <w:separator/>
      </w:r>
    </w:p>
  </w:footnote>
  <w:footnote w:type="continuationSeparator" w:id="0">
    <w:p w14:paraId="33535ACE" w14:textId="77777777" w:rsidR="005947B9" w:rsidRDefault="00594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5"/>
    <w:multiLevelType w:val="multilevel"/>
    <w:tmpl w:val="00000000"/>
    <w:name w:val="AutoList1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7"/>
    <w:multiLevelType w:val="multilevel"/>
    <w:tmpl w:val="00000000"/>
    <w:name w:val="AutoList1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0000008"/>
    <w:multiLevelType w:val="multilevel"/>
    <w:tmpl w:val="00000000"/>
    <w:name w:val="AutoList1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00000009"/>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A"/>
    <w:multiLevelType w:val="multilevel"/>
    <w:tmpl w:val="00000000"/>
    <w:name w:val="AutoList1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1"/>
      <w:lvl w:ilvl="0">
        <w:start w:val="1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2"/>
    <w:lvlOverride w:ilvl="0">
      <w:startOverride w:val="6"/>
      <w:lvl w:ilvl="0">
        <w:start w:val="6"/>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3"/>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4"/>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2B"/>
    <w:rsid w:val="00020118"/>
    <w:rsid w:val="0004360C"/>
    <w:rsid w:val="00051B23"/>
    <w:rsid w:val="0005512B"/>
    <w:rsid w:val="000C7695"/>
    <w:rsid w:val="000F79F5"/>
    <w:rsid w:val="00156755"/>
    <w:rsid w:val="00196F80"/>
    <w:rsid w:val="001B572F"/>
    <w:rsid w:val="002056AD"/>
    <w:rsid w:val="00227886"/>
    <w:rsid w:val="002326E8"/>
    <w:rsid w:val="00276FCA"/>
    <w:rsid w:val="00283699"/>
    <w:rsid w:val="00286012"/>
    <w:rsid w:val="00310CD8"/>
    <w:rsid w:val="00353EC5"/>
    <w:rsid w:val="00372769"/>
    <w:rsid w:val="00383F11"/>
    <w:rsid w:val="0039245D"/>
    <w:rsid w:val="003A214C"/>
    <w:rsid w:val="003A2717"/>
    <w:rsid w:val="004312AF"/>
    <w:rsid w:val="00456231"/>
    <w:rsid w:val="004A74A0"/>
    <w:rsid w:val="00551156"/>
    <w:rsid w:val="00572F78"/>
    <w:rsid w:val="00580526"/>
    <w:rsid w:val="0058752A"/>
    <w:rsid w:val="005947B9"/>
    <w:rsid w:val="005C2DF4"/>
    <w:rsid w:val="006050D9"/>
    <w:rsid w:val="00607FC0"/>
    <w:rsid w:val="006552AC"/>
    <w:rsid w:val="006774D0"/>
    <w:rsid w:val="006A60C5"/>
    <w:rsid w:val="006C71CB"/>
    <w:rsid w:val="006E08CD"/>
    <w:rsid w:val="00714F7D"/>
    <w:rsid w:val="0072029E"/>
    <w:rsid w:val="007310CB"/>
    <w:rsid w:val="00751FE1"/>
    <w:rsid w:val="007557D2"/>
    <w:rsid w:val="007C1642"/>
    <w:rsid w:val="007F186B"/>
    <w:rsid w:val="00834497"/>
    <w:rsid w:val="00846EAF"/>
    <w:rsid w:val="00852A1E"/>
    <w:rsid w:val="00877DC0"/>
    <w:rsid w:val="00877F99"/>
    <w:rsid w:val="008E395E"/>
    <w:rsid w:val="00900620"/>
    <w:rsid w:val="00971857"/>
    <w:rsid w:val="00992FD3"/>
    <w:rsid w:val="009945A1"/>
    <w:rsid w:val="009C5A2F"/>
    <w:rsid w:val="009C7485"/>
    <w:rsid w:val="00AD552D"/>
    <w:rsid w:val="00AD69AD"/>
    <w:rsid w:val="00B42C89"/>
    <w:rsid w:val="00B54F83"/>
    <w:rsid w:val="00B92BAF"/>
    <w:rsid w:val="00B96365"/>
    <w:rsid w:val="00BA4753"/>
    <w:rsid w:val="00BC1453"/>
    <w:rsid w:val="00BC4E2F"/>
    <w:rsid w:val="00C20594"/>
    <w:rsid w:val="00C20FED"/>
    <w:rsid w:val="00CF0F17"/>
    <w:rsid w:val="00D244FB"/>
    <w:rsid w:val="00D452EA"/>
    <w:rsid w:val="00D650C6"/>
    <w:rsid w:val="00DB5A76"/>
    <w:rsid w:val="00E0113C"/>
    <w:rsid w:val="00E07E76"/>
    <w:rsid w:val="00E91B66"/>
    <w:rsid w:val="00E94B7C"/>
    <w:rsid w:val="00E97698"/>
    <w:rsid w:val="00EB6022"/>
    <w:rsid w:val="00EC4C3C"/>
    <w:rsid w:val="00F70C11"/>
    <w:rsid w:val="00FE2262"/>
    <w:rsid w:val="00FE72D8"/>
    <w:rsid w:val="00FF365A"/>
    <w:rsid w:val="00FF530D"/>
    <w:rsid w:val="00FF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5D6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autoSpaceDE w:val="0"/>
      <w:autoSpaceDN w:val="0"/>
      <w:adjustRightInd w:val="0"/>
      <w:jc w:val="center"/>
      <w:outlineLvl w:val="0"/>
    </w:pPr>
    <w:rPr>
      <w:rFonts w:ascii="Courier New" w:hAnsi="Courier New"/>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enter">
    <w:name w:val="center"/>
    <w:basedOn w:val="Normal"/>
    <w:pPr>
      <w:keepLines/>
      <w:widowControl/>
      <w:spacing w:before="240" w:line="240" w:lineRule="atLeast"/>
      <w:jc w:val="center"/>
    </w:pPr>
    <w:rPr>
      <w:snapToGrid/>
      <w:sz w:val="26"/>
    </w:rPr>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Level1">
    <w:name w:val="Level 1"/>
    <w:basedOn w:val="Normal"/>
    <w:pPr>
      <w:tabs>
        <w:tab w:val="num" w:pos="360"/>
      </w:tabs>
      <w:autoSpaceDE w:val="0"/>
      <w:autoSpaceDN w:val="0"/>
      <w:adjustRightInd w:val="0"/>
      <w:ind w:left="1440" w:hanging="720"/>
      <w:outlineLvl w:val="0"/>
    </w:pPr>
    <w:rPr>
      <w:snapToGrid/>
    </w:rPr>
  </w:style>
  <w:style w:type="paragraph" w:styleId="Header">
    <w:name w:val="header"/>
    <w:basedOn w:val="Normal"/>
    <w:pPr>
      <w:tabs>
        <w:tab w:val="center" w:pos="4320"/>
        <w:tab w:val="right" w:pos="8640"/>
      </w:tabs>
      <w:autoSpaceDE w:val="0"/>
      <w:autoSpaceDN w:val="0"/>
      <w:adjustRightInd w:val="0"/>
    </w:pPr>
    <w:rPr>
      <w:snapToGrid/>
    </w:rPr>
  </w:style>
  <w:style w:type="paragraph" w:styleId="BodyTextIndent">
    <w:name w:val="Body Text Indent"/>
    <w:basedOn w:val="Normal"/>
    <w:pPr>
      <w:autoSpaceDE w:val="0"/>
      <w:autoSpaceDN w:val="0"/>
      <w:adjustRightInd w:val="0"/>
      <w:ind w:firstLine="720"/>
    </w:pPr>
    <w:rPr>
      <w:rFonts w:ascii="Courier New" w:hAnsi="Courier New"/>
      <w:b/>
      <w:snapToGrid/>
    </w:rPr>
  </w:style>
  <w:style w:type="paragraph" w:styleId="BodyTextIndent2">
    <w:name w:val="Body Text Indent 2"/>
    <w:basedOn w:val="Normal"/>
    <w:pPr>
      <w:autoSpaceDE w:val="0"/>
      <w:autoSpaceDN w:val="0"/>
      <w:adjustRightInd w:val="0"/>
      <w:ind w:firstLine="720"/>
    </w:pPr>
    <w:rPr>
      <w:snapToGrid/>
    </w:rPr>
  </w:style>
  <w:style w:type="paragraph" w:styleId="BodyTextIndent3">
    <w:name w:val="Body Text Indent 3"/>
    <w:basedOn w:val="Normal"/>
    <w:pPr>
      <w:autoSpaceDE w:val="0"/>
      <w:autoSpaceDN w:val="0"/>
      <w:adjustRightInd w:val="0"/>
      <w:ind w:left="720"/>
    </w:pPr>
    <w:rPr>
      <w:snapToGrid/>
    </w:rPr>
  </w:style>
  <w:style w:type="paragraph" w:styleId="BodyText">
    <w:name w:val="Body Text"/>
    <w:basedOn w:val="Normal"/>
    <w:pPr>
      <w:autoSpaceDE w:val="0"/>
      <w:autoSpaceDN w:val="0"/>
      <w:adjustRightInd w:val="0"/>
    </w:pPr>
    <w:rPr>
      <w:b/>
      <w:snapToGrid/>
    </w:rPr>
  </w:style>
  <w:style w:type="paragraph" w:styleId="Footer">
    <w:name w:val="footer"/>
    <w:basedOn w:val="Normal"/>
    <w:link w:val="FooterChar"/>
    <w:uiPriority w:val="99"/>
    <w:rsid w:val="005C2DF4"/>
    <w:pPr>
      <w:tabs>
        <w:tab w:val="center" w:pos="4320"/>
        <w:tab w:val="right" w:pos="8640"/>
      </w:tabs>
    </w:pPr>
  </w:style>
  <w:style w:type="character" w:styleId="PageNumber">
    <w:name w:val="page number"/>
    <w:basedOn w:val="DefaultParagraphFont"/>
    <w:rsid w:val="005C2DF4"/>
  </w:style>
  <w:style w:type="paragraph" w:styleId="BalloonText">
    <w:name w:val="Balloon Text"/>
    <w:basedOn w:val="Normal"/>
    <w:link w:val="BalloonTextChar"/>
    <w:uiPriority w:val="99"/>
    <w:semiHidden/>
    <w:unhideWhenUsed/>
    <w:rsid w:val="00877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F99"/>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2056AD"/>
    <w:rPr>
      <w:sz w:val="16"/>
      <w:szCs w:val="16"/>
    </w:rPr>
  </w:style>
  <w:style w:type="paragraph" w:styleId="CommentText">
    <w:name w:val="annotation text"/>
    <w:basedOn w:val="Normal"/>
    <w:link w:val="CommentTextChar"/>
    <w:uiPriority w:val="99"/>
    <w:semiHidden/>
    <w:unhideWhenUsed/>
    <w:rsid w:val="002056AD"/>
    <w:rPr>
      <w:sz w:val="20"/>
    </w:rPr>
  </w:style>
  <w:style w:type="character" w:customStyle="1" w:styleId="CommentTextChar">
    <w:name w:val="Comment Text Char"/>
    <w:basedOn w:val="DefaultParagraphFont"/>
    <w:link w:val="CommentText"/>
    <w:uiPriority w:val="99"/>
    <w:semiHidden/>
    <w:rsid w:val="002056AD"/>
    <w:rPr>
      <w:snapToGrid w:val="0"/>
    </w:rPr>
  </w:style>
  <w:style w:type="paragraph" w:styleId="CommentSubject">
    <w:name w:val="annotation subject"/>
    <w:basedOn w:val="CommentText"/>
    <w:next w:val="CommentText"/>
    <w:link w:val="CommentSubjectChar"/>
    <w:uiPriority w:val="99"/>
    <w:semiHidden/>
    <w:unhideWhenUsed/>
    <w:rsid w:val="002056AD"/>
    <w:rPr>
      <w:b/>
      <w:bCs/>
    </w:rPr>
  </w:style>
  <w:style w:type="character" w:customStyle="1" w:styleId="CommentSubjectChar">
    <w:name w:val="Comment Subject Char"/>
    <w:basedOn w:val="CommentTextChar"/>
    <w:link w:val="CommentSubject"/>
    <w:uiPriority w:val="99"/>
    <w:semiHidden/>
    <w:rsid w:val="002056AD"/>
    <w:rPr>
      <w:b/>
      <w:bCs/>
      <w:snapToGrid w:val="0"/>
    </w:rPr>
  </w:style>
  <w:style w:type="paragraph" w:styleId="ListParagraph">
    <w:name w:val="List Paragraph"/>
    <w:basedOn w:val="Normal"/>
    <w:uiPriority w:val="34"/>
    <w:qFormat/>
    <w:rsid w:val="00992FD3"/>
    <w:pPr>
      <w:ind w:left="720"/>
      <w:contextualSpacing/>
    </w:pPr>
  </w:style>
  <w:style w:type="character" w:customStyle="1" w:styleId="FooterChar">
    <w:name w:val="Footer Char"/>
    <w:basedOn w:val="DefaultParagraphFont"/>
    <w:link w:val="Footer"/>
    <w:uiPriority w:val="99"/>
    <w:rsid w:val="007557D2"/>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autoSpaceDE w:val="0"/>
      <w:autoSpaceDN w:val="0"/>
      <w:adjustRightInd w:val="0"/>
      <w:jc w:val="center"/>
      <w:outlineLvl w:val="0"/>
    </w:pPr>
    <w:rPr>
      <w:rFonts w:ascii="Courier New" w:hAnsi="Courier New"/>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enter">
    <w:name w:val="center"/>
    <w:basedOn w:val="Normal"/>
    <w:pPr>
      <w:keepLines/>
      <w:widowControl/>
      <w:spacing w:before="240" w:line="240" w:lineRule="atLeast"/>
      <w:jc w:val="center"/>
    </w:pPr>
    <w:rPr>
      <w:snapToGrid/>
      <w:sz w:val="26"/>
    </w:rPr>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Level1">
    <w:name w:val="Level 1"/>
    <w:basedOn w:val="Normal"/>
    <w:pPr>
      <w:tabs>
        <w:tab w:val="num" w:pos="360"/>
      </w:tabs>
      <w:autoSpaceDE w:val="0"/>
      <w:autoSpaceDN w:val="0"/>
      <w:adjustRightInd w:val="0"/>
      <w:ind w:left="1440" w:hanging="720"/>
      <w:outlineLvl w:val="0"/>
    </w:pPr>
    <w:rPr>
      <w:snapToGrid/>
    </w:rPr>
  </w:style>
  <w:style w:type="paragraph" w:styleId="Header">
    <w:name w:val="header"/>
    <w:basedOn w:val="Normal"/>
    <w:pPr>
      <w:tabs>
        <w:tab w:val="center" w:pos="4320"/>
        <w:tab w:val="right" w:pos="8640"/>
      </w:tabs>
      <w:autoSpaceDE w:val="0"/>
      <w:autoSpaceDN w:val="0"/>
      <w:adjustRightInd w:val="0"/>
    </w:pPr>
    <w:rPr>
      <w:snapToGrid/>
    </w:rPr>
  </w:style>
  <w:style w:type="paragraph" w:styleId="BodyTextIndent">
    <w:name w:val="Body Text Indent"/>
    <w:basedOn w:val="Normal"/>
    <w:pPr>
      <w:autoSpaceDE w:val="0"/>
      <w:autoSpaceDN w:val="0"/>
      <w:adjustRightInd w:val="0"/>
      <w:ind w:firstLine="720"/>
    </w:pPr>
    <w:rPr>
      <w:rFonts w:ascii="Courier New" w:hAnsi="Courier New"/>
      <w:b/>
      <w:snapToGrid/>
    </w:rPr>
  </w:style>
  <w:style w:type="paragraph" w:styleId="BodyTextIndent2">
    <w:name w:val="Body Text Indent 2"/>
    <w:basedOn w:val="Normal"/>
    <w:pPr>
      <w:autoSpaceDE w:val="0"/>
      <w:autoSpaceDN w:val="0"/>
      <w:adjustRightInd w:val="0"/>
      <w:ind w:firstLine="720"/>
    </w:pPr>
    <w:rPr>
      <w:snapToGrid/>
    </w:rPr>
  </w:style>
  <w:style w:type="paragraph" w:styleId="BodyTextIndent3">
    <w:name w:val="Body Text Indent 3"/>
    <w:basedOn w:val="Normal"/>
    <w:pPr>
      <w:autoSpaceDE w:val="0"/>
      <w:autoSpaceDN w:val="0"/>
      <w:adjustRightInd w:val="0"/>
      <w:ind w:left="720"/>
    </w:pPr>
    <w:rPr>
      <w:snapToGrid/>
    </w:rPr>
  </w:style>
  <w:style w:type="paragraph" w:styleId="BodyText">
    <w:name w:val="Body Text"/>
    <w:basedOn w:val="Normal"/>
    <w:pPr>
      <w:autoSpaceDE w:val="0"/>
      <w:autoSpaceDN w:val="0"/>
      <w:adjustRightInd w:val="0"/>
    </w:pPr>
    <w:rPr>
      <w:b/>
      <w:snapToGrid/>
    </w:rPr>
  </w:style>
  <w:style w:type="paragraph" w:styleId="Footer">
    <w:name w:val="footer"/>
    <w:basedOn w:val="Normal"/>
    <w:link w:val="FooterChar"/>
    <w:uiPriority w:val="99"/>
    <w:rsid w:val="005C2DF4"/>
    <w:pPr>
      <w:tabs>
        <w:tab w:val="center" w:pos="4320"/>
        <w:tab w:val="right" w:pos="8640"/>
      </w:tabs>
    </w:pPr>
  </w:style>
  <w:style w:type="character" w:styleId="PageNumber">
    <w:name w:val="page number"/>
    <w:basedOn w:val="DefaultParagraphFont"/>
    <w:rsid w:val="005C2DF4"/>
  </w:style>
  <w:style w:type="paragraph" w:styleId="BalloonText">
    <w:name w:val="Balloon Text"/>
    <w:basedOn w:val="Normal"/>
    <w:link w:val="BalloonTextChar"/>
    <w:uiPriority w:val="99"/>
    <w:semiHidden/>
    <w:unhideWhenUsed/>
    <w:rsid w:val="00877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F99"/>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2056AD"/>
    <w:rPr>
      <w:sz w:val="16"/>
      <w:szCs w:val="16"/>
    </w:rPr>
  </w:style>
  <w:style w:type="paragraph" w:styleId="CommentText">
    <w:name w:val="annotation text"/>
    <w:basedOn w:val="Normal"/>
    <w:link w:val="CommentTextChar"/>
    <w:uiPriority w:val="99"/>
    <w:semiHidden/>
    <w:unhideWhenUsed/>
    <w:rsid w:val="002056AD"/>
    <w:rPr>
      <w:sz w:val="20"/>
    </w:rPr>
  </w:style>
  <w:style w:type="character" w:customStyle="1" w:styleId="CommentTextChar">
    <w:name w:val="Comment Text Char"/>
    <w:basedOn w:val="DefaultParagraphFont"/>
    <w:link w:val="CommentText"/>
    <w:uiPriority w:val="99"/>
    <w:semiHidden/>
    <w:rsid w:val="002056AD"/>
    <w:rPr>
      <w:snapToGrid w:val="0"/>
    </w:rPr>
  </w:style>
  <w:style w:type="paragraph" w:styleId="CommentSubject">
    <w:name w:val="annotation subject"/>
    <w:basedOn w:val="CommentText"/>
    <w:next w:val="CommentText"/>
    <w:link w:val="CommentSubjectChar"/>
    <w:uiPriority w:val="99"/>
    <w:semiHidden/>
    <w:unhideWhenUsed/>
    <w:rsid w:val="002056AD"/>
    <w:rPr>
      <w:b/>
      <w:bCs/>
    </w:rPr>
  </w:style>
  <w:style w:type="character" w:customStyle="1" w:styleId="CommentSubjectChar">
    <w:name w:val="Comment Subject Char"/>
    <w:basedOn w:val="CommentTextChar"/>
    <w:link w:val="CommentSubject"/>
    <w:uiPriority w:val="99"/>
    <w:semiHidden/>
    <w:rsid w:val="002056AD"/>
    <w:rPr>
      <w:b/>
      <w:bCs/>
      <w:snapToGrid w:val="0"/>
    </w:rPr>
  </w:style>
  <w:style w:type="paragraph" w:styleId="ListParagraph">
    <w:name w:val="List Paragraph"/>
    <w:basedOn w:val="Normal"/>
    <w:uiPriority w:val="34"/>
    <w:qFormat/>
    <w:rsid w:val="00992FD3"/>
    <w:pPr>
      <w:ind w:left="720"/>
      <w:contextualSpacing/>
    </w:pPr>
  </w:style>
  <w:style w:type="character" w:customStyle="1" w:styleId="FooterChar">
    <w:name w:val="Footer Char"/>
    <w:basedOn w:val="DefaultParagraphFont"/>
    <w:link w:val="Footer"/>
    <w:uiPriority w:val="99"/>
    <w:rsid w:val="007557D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5175">
      <w:bodyDiv w:val="1"/>
      <w:marLeft w:val="0"/>
      <w:marRight w:val="0"/>
      <w:marTop w:val="0"/>
      <w:marBottom w:val="0"/>
      <w:divBdr>
        <w:top w:val="none" w:sz="0" w:space="0" w:color="auto"/>
        <w:left w:val="none" w:sz="0" w:space="0" w:color="auto"/>
        <w:bottom w:val="none" w:sz="0" w:space="0" w:color="auto"/>
        <w:right w:val="none" w:sz="0" w:space="0" w:color="auto"/>
      </w:divBdr>
      <w:divsChild>
        <w:div w:id="55209204">
          <w:marLeft w:val="0"/>
          <w:marRight w:val="0"/>
          <w:marTop w:val="0"/>
          <w:marBottom w:val="0"/>
          <w:divBdr>
            <w:top w:val="none" w:sz="0" w:space="0" w:color="auto"/>
            <w:left w:val="none" w:sz="0" w:space="0" w:color="auto"/>
            <w:bottom w:val="none" w:sz="0" w:space="0" w:color="auto"/>
            <w:right w:val="none" w:sz="0" w:space="0" w:color="auto"/>
          </w:divBdr>
          <w:divsChild>
            <w:div w:id="1207908696">
              <w:marLeft w:val="0"/>
              <w:marRight w:val="0"/>
              <w:marTop w:val="0"/>
              <w:marBottom w:val="0"/>
              <w:divBdr>
                <w:top w:val="none" w:sz="0" w:space="0" w:color="auto"/>
                <w:left w:val="none" w:sz="0" w:space="0" w:color="auto"/>
                <w:bottom w:val="none" w:sz="0" w:space="0" w:color="auto"/>
                <w:right w:val="none" w:sz="0" w:space="0" w:color="auto"/>
              </w:divBdr>
              <w:divsChild>
                <w:div w:id="17367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40277">
      <w:bodyDiv w:val="1"/>
      <w:marLeft w:val="0"/>
      <w:marRight w:val="0"/>
      <w:marTop w:val="0"/>
      <w:marBottom w:val="0"/>
      <w:divBdr>
        <w:top w:val="none" w:sz="0" w:space="0" w:color="auto"/>
        <w:left w:val="none" w:sz="0" w:space="0" w:color="auto"/>
        <w:bottom w:val="none" w:sz="0" w:space="0" w:color="auto"/>
        <w:right w:val="none" w:sz="0" w:space="0" w:color="auto"/>
      </w:divBdr>
      <w:divsChild>
        <w:div w:id="226886908">
          <w:marLeft w:val="0"/>
          <w:marRight w:val="0"/>
          <w:marTop w:val="0"/>
          <w:marBottom w:val="0"/>
          <w:divBdr>
            <w:top w:val="none" w:sz="0" w:space="0" w:color="auto"/>
            <w:left w:val="none" w:sz="0" w:space="0" w:color="auto"/>
            <w:bottom w:val="none" w:sz="0" w:space="0" w:color="auto"/>
            <w:right w:val="none" w:sz="0" w:space="0" w:color="auto"/>
          </w:divBdr>
          <w:divsChild>
            <w:div w:id="446003312">
              <w:marLeft w:val="0"/>
              <w:marRight w:val="0"/>
              <w:marTop w:val="0"/>
              <w:marBottom w:val="0"/>
              <w:divBdr>
                <w:top w:val="none" w:sz="0" w:space="0" w:color="auto"/>
                <w:left w:val="none" w:sz="0" w:space="0" w:color="auto"/>
                <w:bottom w:val="none" w:sz="0" w:space="0" w:color="auto"/>
                <w:right w:val="none" w:sz="0" w:space="0" w:color="auto"/>
              </w:divBdr>
              <w:divsChild>
                <w:div w:id="842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34089">
      <w:bodyDiv w:val="1"/>
      <w:marLeft w:val="0"/>
      <w:marRight w:val="0"/>
      <w:marTop w:val="0"/>
      <w:marBottom w:val="0"/>
      <w:divBdr>
        <w:top w:val="none" w:sz="0" w:space="0" w:color="auto"/>
        <w:left w:val="none" w:sz="0" w:space="0" w:color="auto"/>
        <w:bottom w:val="none" w:sz="0" w:space="0" w:color="auto"/>
        <w:right w:val="none" w:sz="0" w:space="0" w:color="auto"/>
      </w:divBdr>
      <w:divsChild>
        <w:div w:id="796222070">
          <w:marLeft w:val="0"/>
          <w:marRight w:val="0"/>
          <w:marTop w:val="0"/>
          <w:marBottom w:val="0"/>
          <w:divBdr>
            <w:top w:val="none" w:sz="0" w:space="0" w:color="auto"/>
            <w:left w:val="none" w:sz="0" w:space="0" w:color="auto"/>
            <w:bottom w:val="none" w:sz="0" w:space="0" w:color="auto"/>
            <w:right w:val="none" w:sz="0" w:space="0" w:color="auto"/>
          </w:divBdr>
          <w:divsChild>
            <w:div w:id="1949581408">
              <w:marLeft w:val="0"/>
              <w:marRight w:val="0"/>
              <w:marTop w:val="0"/>
              <w:marBottom w:val="0"/>
              <w:divBdr>
                <w:top w:val="none" w:sz="0" w:space="0" w:color="auto"/>
                <w:left w:val="none" w:sz="0" w:space="0" w:color="auto"/>
                <w:bottom w:val="none" w:sz="0" w:space="0" w:color="auto"/>
                <w:right w:val="none" w:sz="0" w:space="0" w:color="auto"/>
              </w:divBdr>
              <w:divsChild>
                <w:div w:id="3729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2480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Kodidine</dc:creator>
  <cp:lastModifiedBy>Sanjay Kodidine</cp:lastModifiedBy>
  <cp:revision>2</cp:revision>
  <cp:lastPrinted>2020-05-21T17:15:00Z</cp:lastPrinted>
  <dcterms:created xsi:type="dcterms:W3CDTF">2020-05-27T21:21:00Z</dcterms:created>
  <dcterms:modified xsi:type="dcterms:W3CDTF">2020-05-27T21:21:00Z</dcterms:modified>
</cp:coreProperties>
</file>