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E25F9" w14:textId="77777777" w:rsidR="00C20FED" w:rsidRDefault="009049A1" w:rsidP="00931186">
      <w:pPr>
        <w:jc w:val="both"/>
        <w:rPr>
          <w:b/>
          <w:sz w:val="28"/>
          <w:szCs w:val="28"/>
        </w:rPr>
      </w:pPr>
      <w:r w:rsidRPr="00931186">
        <w:rPr>
          <w:b/>
          <w:sz w:val="28"/>
          <w:szCs w:val="28"/>
        </w:rPr>
        <w:t>10.</w:t>
      </w:r>
      <w:r w:rsidR="00B37F94" w:rsidRPr="00931186">
        <w:rPr>
          <w:b/>
          <w:sz w:val="28"/>
          <w:szCs w:val="28"/>
        </w:rPr>
        <w:t>0</w:t>
      </w:r>
      <w:r w:rsidR="00B42C89" w:rsidRPr="00931186">
        <w:rPr>
          <w:b/>
          <w:sz w:val="28"/>
          <w:szCs w:val="28"/>
        </w:rPr>
        <w:t>3A</w:t>
      </w:r>
      <w:r w:rsidR="00B42C89" w:rsidRPr="00931186">
        <w:rPr>
          <w:b/>
          <w:sz w:val="28"/>
          <w:szCs w:val="28"/>
        </w:rPr>
        <w:tab/>
        <w:t>“D</w:t>
      </w:r>
      <w:r w:rsidRPr="00931186">
        <w:rPr>
          <w:b/>
          <w:sz w:val="28"/>
          <w:szCs w:val="28"/>
        </w:rPr>
        <w:t>ECEPTIVE ACT OR PRACTICE</w:t>
      </w:r>
      <w:r w:rsidR="00B42C89" w:rsidRPr="00931186">
        <w:rPr>
          <w:b/>
          <w:sz w:val="28"/>
          <w:szCs w:val="28"/>
        </w:rPr>
        <w:t>” D</w:t>
      </w:r>
      <w:r w:rsidRPr="00931186">
        <w:rPr>
          <w:b/>
          <w:sz w:val="28"/>
          <w:szCs w:val="28"/>
        </w:rPr>
        <w:t>EFINED</w:t>
      </w:r>
    </w:p>
    <w:p w14:paraId="69064125" w14:textId="77777777" w:rsidR="00931186" w:rsidRDefault="00931186" w:rsidP="00931186">
      <w:pPr>
        <w:jc w:val="both"/>
        <w:rPr>
          <w:b/>
          <w:sz w:val="28"/>
          <w:szCs w:val="28"/>
        </w:rPr>
      </w:pPr>
    </w:p>
    <w:p w14:paraId="2FFE135E" w14:textId="77777777" w:rsidR="00931186" w:rsidRPr="00931186" w:rsidRDefault="00931186" w:rsidP="00931186">
      <w:pPr>
        <w:jc w:val="both"/>
        <w:rPr>
          <w:b/>
          <w:sz w:val="28"/>
          <w:szCs w:val="28"/>
        </w:rPr>
      </w:pPr>
    </w:p>
    <w:p w14:paraId="27E0472F" w14:textId="0EE58C1D" w:rsidR="0072029E" w:rsidRDefault="00C20FED" w:rsidP="00931186">
      <w:pPr>
        <w:spacing w:line="360" w:lineRule="auto"/>
        <w:jc w:val="both"/>
        <w:rPr>
          <w:sz w:val="28"/>
          <w:szCs w:val="28"/>
        </w:rPr>
      </w:pPr>
      <w:r w:rsidRPr="00931186">
        <w:rPr>
          <w:sz w:val="28"/>
          <w:szCs w:val="28"/>
        </w:rPr>
        <w:t xml:space="preserve">An act or practice is deceptive if it </w:t>
      </w:r>
      <w:r w:rsidR="00557844" w:rsidRPr="00931186">
        <w:rPr>
          <w:color w:val="000000"/>
          <w:sz w:val="28"/>
          <w:szCs w:val="28"/>
        </w:rPr>
        <w:t>has the capacity or tendency to deceive</w:t>
      </w:r>
      <w:r w:rsidRPr="00931186">
        <w:rPr>
          <w:sz w:val="28"/>
          <w:szCs w:val="28"/>
        </w:rPr>
        <w:t xml:space="preserve">. </w:t>
      </w:r>
      <w:r w:rsidR="00751FE1" w:rsidRPr="00931186">
        <w:rPr>
          <w:sz w:val="28"/>
          <w:szCs w:val="28"/>
        </w:rPr>
        <w:t xml:space="preserve"> </w:t>
      </w:r>
      <w:r w:rsidR="007D7ED9" w:rsidRPr="00931186">
        <w:rPr>
          <w:sz w:val="28"/>
          <w:szCs w:val="28"/>
        </w:rPr>
        <w:t>P</w:t>
      </w:r>
      <w:r w:rsidR="00751FE1" w:rsidRPr="00931186">
        <w:rPr>
          <w:sz w:val="28"/>
          <w:szCs w:val="28"/>
        </w:rPr>
        <w:t>laintiff</w:t>
      </w:r>
      <w:r w:rsidR="007D7ED9" w:rsidRPr="00931186">
        <w:rPr>
          <w:sz w:val="28"/>
          <w:szCs w:val="28"/>
        </w:rPr>
        <w:t>]</w:t>
      </w:r>
      <w:r w:rsidR="00751FE1" w:rsidRPr="00931186">
        <w:rPr>
          <w:sz w:val="28"/>
          <w:szCs w:val="28"/>
        </w:rPr>
        <w:t xml:space="preserve"> is not required to show that </w:t>
      </w:r>
      <w:r w:rsidR="007D7ED9" w:rsidRPr="00931186">
        <w:rPr>
          <w:sz w:val="28"/>
          <w:szCs w:val="28"/>
        </w:rPr>
        <w:t>[</w:t>
      </w:r>
      <w:r w:rsidR="00751FE1" w:rsidRPr="00931186">
        <w:rPr>
          <w:sz w:val="28"/>
          <w:szCs w:val="28"/>
        </w:rPr>
        <w:t>defendant</w:t>
      </w:r>
      <w:r w:rsidR="007D7ED9" w:rsidRPr="00931186">
        <w:rPr>
          <w:sz w:val="28"/>
          <w:szCs w:val="28"/>
        </w:rPr>
        <w:t>]</w:t>
      </w:r>
      <w:r w:rsidR="00751FE1" w:rsidRPr="00931186">
        <w:rPr>
          <w:sz w:val="28"/>
          <w:szCs w:val="28"/>
        </w:rPr>
        <w:t xml:space="preserve"> intended to deceive</w:t>
      </w:r>
      <w:r w:rsidR="001B572F" w:rsidRPr="00931186">
        <w:rPr>
          <w:sz w:val="28"/>
          <w:szCs w:val="28"/>
        </w:rPr>
        <w:t xml:space="preserve"> </w:t>
      </w:r>
      <w:r w:rsidR="0072029E" w:rsidRPr="00931186">
        <w:rPr>
          <w:sz w:val="28"/>
          <w:szCs w:val="28"/>
        </w:rPr>
        <w:t>anyone</w:t>
      </w:r>
      <w:r w:rsidR="00883A32" w:rsidRPr="00931186">
        <w:rPr>
          <w:sz w:val="28"/>
          <w:szCs w:val="28"/>
        </w:rPr>
        <w:t xml:space="preserve">. </w:t>
      </w:r>
    </w:p>
    <w:p w14:paraId="75F491E6" w14:textId="77777777" w:rsidR="00931186" w:rsidRPr="00931186" w:rsidRDefault="00931186" w:rsidP="00931186">
      <w:pPr>
        <w:jc w:val="both"/>
        <w:rPr>
          <w:sz w:val="28"/>
          <w:szCs w:val="28"/>
        </w:rPr>
      </w:pPr>
    </w:p>
    <w:p w14:paraId="35D6E1B9" w14:textId="3AE23512" w:rsidR="004F16EA" w:rsidRPr="000D428E" w:rsidRDefault="00A13718" w:rsidP="006E4B5F">
      <w:pPr>
        <w:pStyle w:val="center"/>
        <w:tabs>
          <w:tab w:val="left" w:pos="8730"/>
        </w:tabs>
        <w:spacing w:before="0" w:line="240" w:lineRule="auto"/>
        <w:rPr>
          <w:b/>
          <w:sz w:val="28"/>
          <w:szCs w:val="28"/>
          <w:u w:val="single"/>
        </w:rPr>
      </w:pPr>
      <w:r w:rsidRPr="000D428E">
        <w:rPr>
          <w:b/>
          <w:sz w:val="28"/>
          <w:szCs w:val="28"/>
          <w:u w:val="single"/>
        </w:rPr>
        <w:t>Use Note</w:t>
      </w:r>
    </w:p>
    <w:p w14:paraId="0F9E3A3F" w14:textId="77777777" w:rsidR="004F16EA" w:rsidRPr="00931186" w:rsidRDefault="004F16EA" w:rsidP="004F16EA">
      <w:pPr>
        <w:pStyle w:val="center"/>
        <w:spacing w:before="0" w:line="240" w:lineRule="auto"/>
        <w:ind w:right="720"/>
        <w:rPr>
          <w:sz w:val="28"/>
          <w:szCs w:val="28"/>
        </w:rPr>
      </w:pPr>
    </w:p>
    <w:p w14:paraId="14341C62" w14:textId="1105706A" w:rsidR="00A22114" w:rsidRPr="00931186" w:rsidRDefault="00A22114" w:rsidP="00B90AE2">
      <w:pPr>
        <w:jc w:val="both"/>
        <w:rPr>
          <w:sz w:val="28"/>
          <w:szCs w:val="28"/>
        </w:rPr>
      </w:pPr>
      <w:bookmarkStart w:id="0" w:name="_Hlk39147476"/>
      <w:bookmarkStart w:id="1" w:name="_Hlk39146944"/>
      <w:r w:rsidRPr="00931186">
        <w:rPr>
          <w:sz w:val="28"/>
          <w:szCs w:val="28"/>
        </w:rPr>
        <w:t xml:space="preserve">This instruction </w:t>
      </w:r>
      <w:r w:rsidR="00E3102D" w:rsidRPr="00931186">
        <w:rPr>
          <w:sz w:val="28"/>
          <w:szCs w:val="28"/>
        </w:rPr>
        <w:t xml:space="preserve">is intended for use when the plaintiff alleges unfair or deceptive practices not specified in AS 45.50.471(b).  It </w:t>
      </w:r>
      <w:r w:rsidRPr="00931186">
        <w:rPr>
          <w:sz w:val="28"/>
          <w:szCs w:val="28"/>
        </w:rPr>
        <w:t>should be given whenever the court gives Instruction 10.01(A).  This instruction should not be given with Instruction 10.01B, except as explained below</w:t>
      </w:r>
      <w:bookmarkEnd w:id="0"/>
      <w:r w:rsidRPr="00931186">
        <w:rPr>
          <w:sz w:val="28"/>
          <w:szCs w:val="28"/>
        </w:rPr>
        <w:t>.</w:t>
      </w:r>
    </w:p>
    <w:p w14:paraId="7CF5A515" w14:textId="76CB2032" w:rsidR="00E01D54" w:rsidRPr="00931186" w:rsidRDefault="00E01D54" w:rsidP="00B90AE2">
      <w:pPr>
        <w:jc w:val="both"/>
        <w:rPr>
          <w:sz w:val="28"/>
          <w:szCs w:val="28"/>
        </w:rPr>
      </w:pPr>
    </w:p>
    <w:p w14:paraId="699F0AE2" w14:textId="0A38BE06" w:rsidR="00E01D54" w:rsidRPr="00931186" w:rsidRDefault="00E01D54" w:rsidP="00B90AE2">
      <w:pPr>
        <w:jc w:val="both"/>
        <w:rPr>
          <w:sz w:val="28"/>
          <w:szCs w:val="28"/>
        </w:rPr>
      </w:pPr>
      <w:r w:rsidRPr="00931186">
        <w:rPr>
          <w:sz w:val="28"/>
          <w:szCs w:val="28"/>
        </w:rPr>
        <w:t xml:space="preserve">If plaintiff alleges that defendant engaged in conduct that constituted a violation of 45.50.471(a) </w:t>
      </w:r>
      <w:r w:rsidRPr="00931186">
        <w:rPr>
          <w:sz w:val="28"/>
          <w:szCs w:val="28"/>
          <w:u w:val="single"/>
        </w:rPr>
        <w:t>and</w:t>
      </w:r>
      <w:r w:rsidRPr="00931186">
        <w:rPr>
          <w:sz w:val="28"/>
          <w:szCs w:val="28"/>
        </w:rPr>
        <w:t xml:space="preserve"> that the defendant </w:t>
      </w:r>
      <w:r w:rsidRPr="00931186">
        <w:rPr>
          <w:sz w:val="28"/>
          <w:szCs w:val="28"/>
          <w:u w:val="single"/>
        </w:rPr>
        <w:t>also</w:t>
      </w:r>
      <w:r w:rsidRPr="00931186">
        <w:rPr>
          <w:sz w:val="28"/>
          <w:szCs w:val="28"/>
        </w:rPr>
        <w:t xml:space="preserve"> engaged in conduct that violated one of the specific prohibitions listed in AS 45.50.471(b), Instruction 10.03A must be given, but </w:t>
      </w:r>
      <w:r w:rsidR="008A1CB4" w:rsidRPr="00931186">
        <w:rPr>
          <w:sz w:val="28"/>
          <w:szCs w:val="28"/>
        </w:rPr>
        <w:t xml:space="preserve">it </w:t>
      </w:r>
      <w:r w:rsidRPr="00931186">
        <w:rPr>
          <w:sz w:val="28"/>
          <w:szCs w:val="28"/>
        </w:rPr>
        <w:t xml:space="preserve">must be modified to explain that </w:t>
      </w:r>
      <w:r w:rsidR="008A1CB4" w:rsidRPr="00931186">
        <w:rPr>
          <w:sz w:val="28"/>
          <w:szCs w:val="28"/>
        </w:rPr>
        <w:t>it</w:t>
      </w:r>
      <w:r w:rsidRPr="00931186">
        <w:rPr>
          <w:sz w:val="28"/>
          <w:szCs w:val="28"/>
        </w:rPr>
        <w:t xml:space="preserve"> do</w:t>
      </w:r>
      <w:r w:rsidR="008A1CB4" w:rsidRPr="00931186">
        <w:rPr>
          <w:sz w:val="28"/>
          <w:szCs w:val="28"/>
        </w:rPr>
        <w:t>es</w:t>
      </w:r>
      <w:r w:rsidRPr="00931186">
        <w:rPr>
          <w:sz w:val="28"/>
          <w:szCs w:val="28"/>
        </w:rPr>
        <w:t xml:space="preserve"> not apply to the claims that are based on AS 45.50.471(b).  </w:t>
      </w:r>
    </w:p>
    <w:bookmarkEnd w:id="1"/>
    <w:p w14:paraId="1523E41E" w14:textId="77777777" w:rsidR="006E4B5F" w:rsidRPr="00931186" w:rsidRDefault="006E4B5F" w:rsidP="00931186">
      <w:pPr>
        <w:jc w:val="both"/>
        <w:rPr>
          <w:sz w:val="28"/>
          <w:szCs w:val="28"/>
        </w:rPr>
      </w:pPr>
    </w:p>
    <w:p w14:paraId="1CF300D5" w14:textId="77777777" w:rsidR="000F79F5" w:rsidRPr="000D428E" w:rsidRDefault="000F79F5" w:rsidP="00364D61">
      <w:pPr>
        <w:spacing w:line="480" w:lineRule="auto"/>
        <w:jc w:val="center"/>
        <w:rPr>
          <w:b/>
          <w:sz w:val="28"/>
          <w:szCs w:val="28"/>
          <w:u w:val="single"/>
        </w:rPr>
      </w:pPr>
      <w:r w:rsidRPr="000D428E">
        <w:rPr>
          <w:b/>
          <w:sz w:val="28"/>
          <w:szCs w:val="28"/>
          <w:u w:val="single"/>
        </w:rPr>
        <w:t>Comment</w:t>
      </w:r>
    </w:p>
    <w:p w14:paraId="3173AC1E" w14:textId="42F17DDF" w:rsidR="00CF7782" w:rsidRPr="00931186" w:rsidRDefault="000F79F5" w:rsidP="00883A32">
      <w:pPr>
        <w:jc w:val="both"/>
        <w:rPr>
          <w:sz w:val="28"/>
          <w:szCs w:val="28"/>
        </w:rPr>
      </w:pPr>
      <w:r w:rsidRPr="00931186">
        <w:rPr>
          <w:sz w:val="28"/>
          <w:szCs w:val="28"/>
        </w:rPr>
        <w:t xml:space="preserve">This definition is taken from </w:t>
      </w:r>
      <w:r w:rsidRPr="00931186">
        <w:rPr>
          <w:i/>
          <w:sz w:val="28"/>
          <w:szCs w:val="28"/>
        </w:rPr>
        <w:t>State v. O’Neill Investigations, Inc.</w:t>
      </w:r>
      <w:r w:rsidRPr="00931186">
        <w:rPr>
          <w:sz w:val="28"/>
          <w:szCs w:val="28"/>
        </w:rPr>
        <w:t>, 609 P.2d 520, 534-35 (Alaska 1980)</w:t>
      </w:r>
      <w:r w:rsidR="00BD6929" w:rsidRPr="00931186">
        <w:rPr>
          <w:sz w:val="28"/>
          <w:szCs w:val="28"/>
        </w:rPr>
        <w:t xml:space="preserve"> and </w:t>
      </w:r>
      <w:proofErr w:type="spellStart"/>
      <w:r w:rsidR="00883A32" w:rsidRPr="00931186">
        <w:rPr>
          <w:i/>
          <w:sz w:val="28"/>
          <w:szCs w:val="28"/>
        </w:rPr>
        <w:t>Borgen</w:t>
      </w:r>
      <w:proofErr w:type="spellEnd"/>
      <w:r w:rsidR="00883A32" w:rsidRPr="00931186">
        <w:rPr>
          <w:i/>
          <w:sz w:val="28"/>
          <w:szCs w:val="28"/>
        </w:rPr>
        <w:t xml:space="preserve"> v. </w:t>
      </w:r>
      <w:proofErr w:type="gramStart"/>
      <w:r w:rsidR="00883A32" w:rsidRPr="00931186">
        <w:rPr>
          <w:i/>
          <w:sz w:val="28"/>
          <w:szCs w:val="28"/>
        </w:rPr>
        <w:t>A &amp; M Motors, Inc.</w:t>
      </w:r>
      <w:r w:rsidR="00883A32" w:rsidRPr="00931186">
        <w:rPr>
          <w:sz w:val="28"/>
          <w:szCs w:val="28"/>
        </w:rPr>
        <w:t xml:space="preserve">, 273 P.3d 575, </w:t>
      </w:r>
      <w:r w:rsidR="0089281E">
        <w:rPr>
          <w:sz w:val="28"/>
          <w:szCs w:val="28"/>
        </w:rPr>
        <w:t xml:space="preserve">591 </w:t>
      </w:r>
      <w:r w:rsidR="00883A32" w:rsidRPr="00931186">
        <w:rPr>
          <w:sz w:val="28"/>
          <w:szCs w:val="28"/>
        </w:rPr>
        <w:t>(Alaska 2012).</w:t>
      </w:r>
      <w:proofErr w:type="gramEnd"/>
      <w:r w:rsidR="00883A32" w:rsidRPr="00931186">
        <w:rPr>
          <w:sz w:val="28"/>
          <w:szCs w:val="28"/>
        </w:rPr>
        <w:t xml:space="preserve">  In </w:t>
      </w:r>
      <w:proofErr w:type="spellStart"/>
      <w:r w:rsidR="00883A32" w:rsidRPr="00931186">
        <w:rPr>
          <w:i/>
          <w:sz w:val="28"/>
          <w:szCs w:val="28"/>
        </w:rPr>
        <w:t>Borgen</w:t>
      </w:r>
      <w:proofErr w:type="spellEnd"/>
      <w:r w:rsidR="00883A32" w:rsidRPr="00931186">
        <w:rPr>
          <w:sz w:val="28"/>
          <w:szCs w:val="28"/>
        </w:rPr>
        <w:t>, the court noted that “whether an act is ‘deceptive’ is determined simply by asking whether it ‘has the capacity or tendency to deceive.’</w:t>
      </w:r>
      <w:r w:rsidR="00BD5EAC" w:rsidRPr="00931186">
        <w:rPr>
          <w:sz w:val="28"/>
          <w:szCs w:val="28"/>
        </w:rPr>
        <w:t>”</w:t>
      </w:r>
      <w:r w:rsidR="00883A32" w:rsidRPr="00931186">
        <w:rPr>
          <w:sz w:val="28"/>
          <w:szCs w:val="28"/>
        </w:rPr>
        <w:t xml:space="preserve"> </w:t>
      </w:r>
      <w:proofErr w:type="gramStart"/>
      <w:r w:rsidR="00883A32" w:rsidRPr="00931186">
        <w:rPr>
          <w:i/>
          <w:sz w:val="28"/>
          <w:szCs w:val="28"/>
        </w:rPr>
        <w:t xml:space="preserve">Id. </w:t>
      </w:r>
      <w:r w:rsidR="00883A32" w:rsidRPr="00931186">
        <w:rPr>
          <w:sz w:val="28"/>
          <w:szCs w:val="28"/>
        </w:rPr>
        <w:t xml:space="preserve">at 591 (quoting </w:t>
      </w:r>
      <w:r w:rsidR="00883A32" w:rsidRPr="00931186">
        <w:rPr>
          <w:i/>
          <w:sz w:val="28"/>
          <w:szCs w:val="28"/>
        </w:rPr>
        <w:t xml:space="preserve">ASRC Energy </w:t>
      </w:r>
      <w:proofErr w:type="spellStart"/>
      <w:r w:rsidR="00883A32" w:rsidRPr="00931186">
        <w:rPr>
          <w:i/>
          <w:sz w:val="28"/>
          <w:szCs w:val="28"/>
        </w:rPr>
        <w:t>Servs</w:t>
      </w:r>
      <w:proofErr w:type="spellEnd"/>
      <w:r w:rsidR="00883A32" w:rsidRPr="00931186">
        <w:rPr>
          <w:i/>
          <w:sz w:val="28"/>
          <w:szCs w:val="28"/>
        </w:rPr>
        <w:t>.</w:t>
      </w:r>
      <w:proofErr w:type="gramEnd"/>
      <w:r w:rsidR="00883A32" w:rsidRPr="00931186">
        <w:rPr>
          <w:i/>
          <w:sz w:val="28"/>
          <w:szCs w:val="28"/>
        </w:rPr>
        <w:t xml:space="preserve"> Power &amp; </w:t>
      </w:r>
      <w:proofErr w:type="spellStart"/>
      <w:r w:rsidR="00883A32" w:rsidRPr="00931186">
        <w:rPr>
          <w:i/>
          <w:sz w:val="28"/>
          <w:szCs w:val="28"/>
        </w:rPr>
        <w:t>Commc'ns</w:t>
      </w:r>
      <w:proofErr w:type="spellEnd"/>
      <w:r w:rsidR="00883A32" w:rsidRPr="00931186">
        <w:rPr>
          <w:i/>
          <w:sz w:val="28"/>
          <w:szCs w:val="28"/>
        </w:rPr>
        <w:t xml:space="preserve">, LLC v. Golden Valley Elec. </w:t>
      </w:r>
      <w:proofErr w:type="spellStart"/>
      <w:r w:rsidR="00883A32" w:rsidRPr="00931186">
        <w:rPr>
          <w:i/>
          <w:sz w:val="28"/>
          <w:szCs w:val="28"/>
        </w:rPr>
        <w:t>Ass'n</w:t>
      </w:r>
      <w:proofErr w:type="spellEnd"/>
      <w:r w:rsidR="00883A32" w:rsidRPr="00931186">
        <w:rPr>
          <w:i/>
          <w:sz w:val="28"/>
          <w:szCs w:val="28"/>
        </w:rPr>
        <w:t>, Inc.</w:t>
      </w:r>
      <w:r w:rsidR="00883A32" w:rsidRPr="00931186">
        <w:rPr>
          <w:sz w:val="28"/>
          <w:szCs w:val="28"/>
        </w:rPr>
        <w:t xml:space="preserve">, </w:t>
      </w:r>
      <w:proofErr w:type="gramStart"/>
      <w:r w:rsidR="00883A32" w:rsidRPr="00931186">
        <w:rPr>
          <w:sz w:val="28"/>
          <w:szCs w:val="28"/>
        </w:rPr>
        <w:t>267 P.3d 1151</w:t>
      </w:r>
      <w:proofErr w:type="gramEnd"/>
      <w:r w:rsidR="00883A32" w:rsidRPr="00931186">
        <w:rPr>
          <w:sz w:val="28"/>
          <w:szCs w:val="28"/>
        </w:rPr>
        <w:t xml:space="preserve">, 1159–60 (Alaska 2011)).  </w:t>
      </w:r>
    </w:p>
    <w:p w14:paraId="3D9ED257" w14:textId="77777777" w:rsidR="00CF7782" w:rsidRPr="00931186" w:rsidRDefault="00CF7782" w:rsidP="00883A32">
      <w:pPr>
        <w:jc w:val="both"/>
        <w:rPr>
          <w:sz w:val="28"/>
          <w:szCs w:val="28"/>
        </w:rPr>
      </w:pPr>
      <w:bookmarkStart w:id="2" w:name="_GoBack"/>
      <w:bookmarkEnd w:id="2"/>
    </w:p>
    <w:p w14:paraId="6CB9197C" w14:textId="77777777" w:rsidR="00B90AE2" w:rsidRPr="00931186" w:rsidRDefault="00CF7782" w:rsidP="00CF7782">
      <w:pPr>
        <w:jc w:val="both"/>
        <w:rPr>
          <w:sz w:val="28"/>
          <w:szCs w:val="28"/>
        </w:rPr>
      </w:pPr>
      <w:r w:rsidRPr="00931186">
        <w:rPr>
          <w:sz w:val="28"/>
          <w:szCs w:val="28"/>
        </w:rPr>
        <w:t xml:space="preserve">In </w:t>
      </w:r>
      <w:r w:rsidRPr="00931186">
        <w:rPr>
          <w:i/>
          <w:sz w:val="28"/>
          <w:szCs w:val="28"/>
        </w:rPr>
        <w:t>ASRC Energy Serv</w:t>
      </w:r>
      <w:r w:rsidR="000C3971" w:rsidRPr="00931186">
        <w:rPr>
          <w:i/>
          <w:sz w:val="28"/>
          <w:szCs w:val="28"/>
        </w:rPr>
        <w:t>ices</w:t>
      </w:r>
      <w:r w:rsidRPr="00931186">
        <w:rPr>
          <w:sz w:val="28"/>
          <w:szCs w:val="28"/>
        </w:rPr>
        <w:t xml:space="preserve">, the court held that </w:t>
      </w:r>
    </w:p>
    <w:p w14:paraId="08559E10" w14:textId="77777777" w:rsidR="00B90AE2" w:rsidRPr="00931186" w:rsidRDefault="00B90AE2" w:rsidP="00CF7782">
      <w:pPr>
        <w:jc w:val="both"/>
        <w:rPr>
          <w:sz w:val="28"/>
          <w:szCs w:val="28"/>
        </w:rPr>
      </w:pPr>
    </w:p>
    <w:p w14:paraId="10F82C79" w14:textId="3942BA65" w:rsidR="00CF7782" w:rsidRPr="00931186" w:rsidRDefault="00CF7782" w:rsidP="00E80AF7">
      <w:pPr>
        <w:ind w:left="720"/>
        <w:jc w:val="both"/>
        <w:rPr>
          <w:sz w:val="28"/>
          <w:szCs w:val="28"/>
        </w:rPr>
      </w:pPr>
      <w:proofErr w:type="gramStart"/>
      <w:r w:rsidRPr="00931186">
        <w:rPr>
          <w:sz w:val="28"/>
          <w:szCs w:val="28"/>
        </w:rPr>
        <w:t>the</w:t>
      </w:r>
      <w:proofErr w:type="gramEnd"/>
      <w:r w:rsidRPr="00931186">
        <w:rPr>
          <w:sz w:val="28"/>
          <w:szCs w:val="28"/>
        </w:rPr>
        <w:t xml:space="preserve"> basic elements defining a deceptive practice have remained the same since our </w:t>
      </w:r>
      <w:r w:rsidRPr="00931186">
        <w:rPr>
          <w:i/>
          <w:sz w:val="28"/>
          <w:szCs w:val="28"/>
        </w:rPr>
        <w:t>O'Neill Investigations</w:t>
      </w:r>
      <w:r w:rsidRPr="00931186">
        <w:rPr>
          <w:sz w:val="28"/>
          <w:szCs w:val="28"/>
        </w:rPr>
        <w:t xml:space="preserve"> decision:</w:t>
      </w:r>
    </w:p>
    <w:p w14:paraId="1BCEE1C5" w14:textId="77777777" w:rsidR="00CF7782" w:rsidRPr="00931186" w:rsidRDefault="00CF7782" w:rsidP="00CF7782">
      <w:pPr>
        <w:jc w:val="both"/>
        <w:rPr>
          <w:sz w:val="28"/>
          <w:szCs w:val="28"/>
        </w:rPr>
      </w:pPr>
    </w:p>
    <w:p w14:paraId="6AB804CD" w14:textId="77777777" w:rsidR="00CF7782" w:rsidRPr="00931186" w:rsidRDefault="00CF7782" w:rsidP="00E80AF7">
      <w:pPr>
        <w:ind w:left="1440" w:right="720"/>
        <w:jc w:val="both"/>
        <w:rPr>
          <w:sz w:val="28"/>
          <w:szCs w:val="28"/>
        </w:rPr>
      </w:pPr>
      <w:r w:rsidRPr="00931186">
        <w:rPr>
          <w:sz w:val="28"/>
          <w:szCs w:val="28"/>
        </w:rPr>
        <w:t>To show deception under the FTC Act, intent, scienter, actual reliance or damages, and even actual deception are unnecessary. All that is required is proof that a practice has a tendency or capacity (or, under the FTC's latest formulation, is likely) to deceive even a significant minority of consumers.</w:t>
      </w:r>
    </w:p>
    <w:p w14:paraId="309D1C31" w14:textId="77777777" w:rsidR="00CF7782" w:rsidRPr="00931186" w:rsidRDefault="00CF7782" w:rsidP="00A13718">
      <w:pPr>
        <w:ind w:left="720"/>
        <w:jc w:val="both"/>
        <w:rPr>
          <w:sz w:val="28"/>
          <w:szCs w:val="28"/>
        </w:rPr>
      </w:pPr>
    </w:p>
    <w:p w14:paraId="164F56F9" w14:textId="70EAC0A3" w:rsidR="00565482" w:rsidRPr="00931186" w:rsidRDefault="00CF7782" w:rsidP="00565482">
      <w:pPr>
        <w:jc w:val="both"/>
        <w:rPr>
          <w:sz w:val="28"/>
          <w:szCs w:val="28"/>
        </w:rPr>
      </w:pPr>
      <w:r w:rsidRPr="00931186">
        <w:rPr>
          <w:i/>
          <w:sz w:val="28"/>
          <w:szCs w:val="28"/>
        </w:rPr>
        <w:lastRenderedPageBreak/>
        <w:t xml:space="preserve">ASRC Energy </w:t>
      </w:r>
      <w:proofErr w:type="spellStart"/>
      <w:r w:rsidRPr="00931186">
        <w:rPr>
          <w:i/>
          <w:sz w:val="28"/>
          <w:szCs w:val="28"/>
        </w:rPr>
        <w:t>Servs</w:t>
      </w:r>
      <w:proofErr w:type="spellEnd"/>
      <w:r w:rsidRPr="00931186">
        <w:rPr>
          <w:i/>
          <w:sz w:val="28"/>
          <w:szCs w:val="28"/>
        </w:rPr>
        <w:t>.</w:t>
      </w:r>
      <w:r w:rsidR="002A003B">
        <w:rPr>
          <w:sz w:val="28"/>
          <w:szCs w:val="28"/>
        </w:rPr>
        <w:t xml:space="preserve">, </w:t>
      </w:r>
      <w:r w:rsidRPr="00931186">
        <w:rPr>
          <w:sz w:val="28"/>
          <w:szCs w:val="28"/>
        </w:rPr>
        <w:t xml:space="preserve">267 P.3d at </w:t>
      </w:r>
      <w:r w:rsidR="00B90AE2" w:rsidRPr="00931186">
        <w:rPr>
          <w:sz w:val="28"/>
          <w:szCs w:val="28"/>
        </w:rPr>
        <w:t xml:space="preserve">1163 </w:t>
      </w:r>
      <w:r w:rsidRPr="00931186">
        <w:rPr>
          <w:sz w:val="28"/>
          <w:szCs w:val="28"/>
        </w:rPr>
        <w:t>(quoting National Consumer Law Center, Unfair &amp; Deceptive Acts &amp; Practices, § 4.2.3.1, at 190)</w:t>
      </w:r>
      <w:r w:rsidR="00B90AE2" w:rsidRPr="00931186">
        <w:rPr>
          <w:i/>
          <w:sz w:val="28"/>
          <w:szCs w:val="28"/>
        </w:rPr>
        <w:t>.  S</w:t>
      </w:r>
      <w:r w:rsidR="00565482" w:rsidRPr="00931186">
        <w:rPr>
          <w:i/>
          <w:sz w:val="28"/>
          <w:szCs w:val="28"/>
        </w:rPr>
        <w:t xml:space="preserve">ee also </w:t>
      </w:r>
      <w:r w:rsidR="00565482" w:rsidRPr="00931186">
        <w:rPr>
          <w:i/>
          <w:iCs/>
          <w:sz w:val="28"/>
          <w:szCs w:val="28"/>
        </w:rPr>
        <w:t>Kenai Chrysler Ctr., Inc. v. Denison</w:t>
      </w:r>
      <w:r w:rsidR="00565482" w:rsidRPr="00931186">
        <w:rPr>
          <w:sz w:val="28"/>
          <w:szCs w:val="28"/>
        </w:rPr>
        <w:t xml:space="preserve">, </w:t>
      </w:r>
      <w:proofErr w:type="gramStart"/>
      <w:r w:rsidR="00565482" w:rsidRPr="00931186">
        <w:rPr>
          <w:sz w:val="28"/>
          <w:szCs w:val="28"/>
        </w:rPr>
        <w:t>167</w:t>
      </w:r>
      <w:proofErr w:type="gramEnd"/>
      <w:r w:rsidR="00565482" w:rsidRPr="00931186">
        <w:rPr>
          <w:sz w:val="28"/>
          <w:szCs w:val="28"/>
        </w:rPr>
        <w:t xml:space="preserve"> P.3d 1240, 1255 (Alaska 2007) (“The plaintiff need not prove that the defendant intended to deceive; it is enough to show that the acts and practices were ‘capable of being interpreted in a misleading way.’”) (</w:t>
      </w:r>
      <w:proofErr w:type="gramStart"/>
      <w:r w:rsidR="00565482" w:rsidRPr="00931186">
        <w:rPr>
          <w:sz w:val="28"/>
          <w:szCs w:val="28"/>
        </w:rPr>
        <w:t>quoting</w:t>
      </w:r>
      <w:proofErr w:type="gramEnd"/>
      <w:r w:rsidR="00565482" w:rsidRPr="00931186">
        <w:rPr>
          <w:sz w:val="28"/>
          <w:szCs w:val="28"/>
        </w:rPr>
        <w:t xml:space="preserve"> </w:t>
      </w:r>
      <w:r w:rsidR="00565482" w:rsidRPr="00931186">
        <w:rPr>
          <w:i/>
          <w:sz w:val="28"/>
          <w:szCs w:val="28"/>
        </w:rPr>
        <w:t>O'Neill Investigations, Inc.</w:t>
      </w:r>
      <w:r w:rsidR="00565482" w:rsidRPr="00931186">
        <w:rPr>
          <w:sz w:val="28"/>
          <w:szCs w:val="28"/>
        </w:rPr>
        <w:t>, 609 P.2d at 534</w:t>
      </w:r>
      <w:r w:rsidR="000C3971" w:rsidRPr="00931186">
        <w:rPr>
          <w:sz w:val="28"/>
          <w:szCs w:val="28"/>
        </w:rPr>
        <w:t>)</w:t>
      </w:r>
      <w:r w:rsidR="00565482" w:rsidRPr="00931186">
        <w:rPr>
          <w:sz w:val="28"/>
          <w:szCs w:val="28"/>
        </w:rPr>
        <w:t>.</w:t>
      </w:r>
    </w:p>
    <w:p w14:paraId="7CC859C2" w14:textId="77777777" w:rsidR="00746513" w:rsidRPr="00931186" w:rsidRDefault="00746513" w:rsidP="00565482">
      <w:pPr>
        <w:jc w:val="both"/>
        <w:rPr>
          <w:sz w:val="28"/>
          <w:szCs w:val="28"/>
        </w:rPr>
      </w:pPr>
    </w:p>
    <w:p w14:paraId="2D28565F" w14:textId="77777777" w:rsidR="00883A32" w:rsidRPr="00931186" w:rsidRDefault="00CF7782" w:rsidP="00883A32">
      <w:pPr>
        <w:jc w:val="both"/>
        <w:rPr>
          <w:sz w:val="28"/>
          <w:szCs w:val="28"/>
        </w:rPr>
      </w:pPr>
      <w:r w:rsidRPr="00931186">
        <w:rPr>
          <w:sz w:val="28"/>
          <w:szCs w:val="28"/>
        </w:rPr>
        <w:t xml:space="preserve">An act may be unfair or deceptive, and an act can be deceptive under the UTPA while not being unfair.  </w:t>
      </w:r>
      <w:proofErr w:type="spellStart"/>
      <w:r w:rsidRPr="00931186">
        <w:rPr>
          <w:i/>
          <w:sz w:val="28"/>
          <w:szCs w:val="28"/>
        </w:rPr>
        <w:t>Borgen</w:t>
      </w:r>
      <w:proofErr w:type="spellEnd"/>
      <w:r w:rsidRPr="00931186">
        <w:rPr>
          <w:sz w:val="28"/>
          <w:szCs w:val="28"/>
        </w:rPr>
        <w:t>, 273 P.3d at 591 (“The two terms [unfair and deceptive] are used in the disjunctive in section .471(a), and either will suffice to give rise to liability.”)  Good</w:t>
      </w:r>
      <w:r w:rsidR="00BD6929" w:rsidRPr="00931186">
        <w:rPr>
          <w:sz w:val="28"/>
          <w:szCs w:val="28"/>
        </w:rPr>
        <w:t xml:space="preserve"> faith </w:t>
      </w:r>
      <w:r w:rsidRPr="00931186">
        <w:rPr>
          <w:sz w:val="28"/>
          <w:szCs w:val="28"/>
        </w:rPr>
        <w:t>is</w:t>
      </w:r>
      <w:r w:rsidR="00BD6929" w:rsidRPr="00931186">
        <w:rPr>
          <w:sz w:val="28"/>
          <w:szCs w:val="28"/>
        </w:rPr>
        <w:t xml:space="preserve"> </w:t>
      </w:r>
      <w:r w:rsidRPr="00931186">
        <w:rPr>
          <w:sz w:val="28"/>
          <w:szCs w:val="28"/>
        </w:rPr>
        <w:t xml:space="preserve">also </w:t>
      </w:r>
      <w:r w:rsidR="00BD6929" w:rsidRPr="00931186">
        <w:rPr>
          <w:sz w:val="28"/>
          <w:szCs w:val="28"/>
        </w:rPr>
        <w:t>not a defense to a claim that conduct</w:t>
      </w:r>
      <w:r w:rsidR="00883A32" w:rsidRPr="00931186">
        <w:rPr>
          <w:sz w:val="28"/>
          <w:szCs w:val="28"/>
        </w:rPr>
        <w:t xml:space="preserve"> was deceptive under the UTPA:</w:t>
      </w:r>
    </w:p>
    <w:p w14:paraId="7F864DC1" w14:textId="77777777" w:rsidR="00883A32" w:rsidRPr="00931186" w:rsidRDefault="00883A32" w:rsidP="00883A32">
      <w:pPr>
        <w:jc w:val="both"/>
        <w:rPr>
          <w:sz w:val="28"/>
          <w:szCs w:val="28"/>
        </w:rPr>
      </w:pPr>
    </w:p>
    <w:p w14:paraId="5E61DDBF" w14:textId="7846CCE2" w:rsidR="00883A32" w:rsidRPr="00931186" w:rsidRDefault="0089281E" w:rsidP="00B90AE2">
      <w:pPr>
        <w:ind w:left="720" w:right="720"/>
        <w:jc w:val="both"/>
        <w:rPr>
          <w:sz w:val="28"/>
          <w:szCs w:val="28"/>
        </w:rPr>
      </w:pPr>
      <w:r>
        <w:rPr>
          <w:sz w:val="28"/>
          <w:szCs w:val="28"/>
        </w:rPr>
        <w:t>[E]</w:t>
      </w:r>
      <w:proofErr w:type="spellStart"/>
      <w:r w:rsidR="00883A32" w:rsidRPr="00931186">
        <w:rPr>
          <w:sz w:val="28"/>
          <w:szCs w:val="28"/>
        </w:rPr>
        <w:t>ven</w:t>
      </w:r>
      <w:proofErr w:type="spellEnd"/>
      <w:r w:rsidR="00883A32" w:rsidRPr="00931186">
        <w:rPr>
          <w:sz w:val="28"/>
          <w:szCs w:val="28"/>
        </w:rPr>
        <w:t xml:space="preserve"> if the per se approach as to listed violations under subsection .471(b) were not employed, the prohibition on deceptive acts or practices in subsection .471(a) also encompasses innocent material misrepresentations without requiring proof of bad faith or permitting a defense of good faith. We reach this conclusion based on F.T.C. precedent to which we give great weight, as well as case law from other jurisdictions reaching the same conclusion.</w:t>
      </w:r>
    </w:p>
    <w:p w14:paraId="6B84D34F" w14:textId="77777777" w:rsidR="00883A32" w:rsidRPr="00931186" w:rsidRDefault="00883A32" w:rsidP="00883A32">
      <w:pPr>
        <w:jc w:val="both"/>
        <w:rPr>
          <w:sz w:val="28"/>
          <w:szCs w:val="28"/>
        </w:rPr>
      </w:pPr>
    </w:p>
    <w:p w14:paraId="61AB5F41" w14:textId="762E3CBF" w:rsidR="000F79F5" w:rsidRPr="00931186" w:rsidRDefault="000C3971" w:rsidP="00883A32">
      <w:pPr>
        <w:jc w:val="both"/>
        <w:rPr>
          <w:sz w:val="28"/>
          <w:szCs w:val="28"/>
        </w:rPr>
      </w:pPr>
      <w:proofErr w:type="gramStart"/>
      <w:r w:rsidRPr="00931186">
        <w:rPr>
          <w:i/>
          <w:sz w:val="28"/>
          <w:szCs w:val="28"/>
        </w:rPr>
        <w:t>Id.</w:t>
      </w:r>
      <w:r w:rsidR="00883A32" w:rsidRPr="00931186">
        <w:rPr>
          <w:sz w:val="28"/>
          <w:szCs w:val="28"/>
        </w:rPr>
        <w:t xml:space="preserve"> at 591.</w:t>
      </w:r>
      <w:proofErr w:type="gramEnd"/>
      <w:r w:rsidR="00883A32" w:rsidRPr="00931186">
        <w:rPr>
          <w:sz w:val="28"/>
          <w:szCs w:val="28"/>
        </w:rPr>
        <w:t xml:space="preserve">  </w:t>
      </w:r>
    </w:p>
    <w:p w14:paraId="06722DA3" w14:textId="77777777" w:rsidR="00883A32" w:rsidRPr="00931186" w:rsidRDefault="00883A32" w:rsidP="00883A32">
      <w:pPr>
        <w:jc w:val="both"/>
        <w:rPr>
          <w:sz w:val="28"/>
          <w:szCs w:val="28"/>
        </w:rPr>
      </w:pPr>
    </w:p>
    <w:p w14:paraId="654D84B4" w14:textId="77777777" w:rsidR="00883A32" w:rsidRPr="00931186" w:rsidRDefault="00883A32" w:rsidP="00883A32">
      <w:pPr>
        <w:jc w:val="both"/>
        <w:rPr>
          <w:sz w:val="28"/>
          <w:szCs w:val="28"/>
        </w:rPr>
      </w:pPr>
    </w:p>
    <w:p w14:paraId="69E8D9F6" w14:textId="77777777" w:rsidR="00883A32" w:rsidRPr="00931186" w:rsidRDefault="00883A32" w:rsidP="00883A32">
      <w:pPr>
        <w:jc w:val="both"/>
        <w:rPr>
          <w:sz w:val="28"/>
          <w:szCs w:val="28"/>
        </w:rPr>
      </w:pPr>
    </w:p>
    <w:sectPr w:rsidR="00883A32" w:rsidRPr="00931186" w:rsidSect="00931186">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1AE58" w14:textId="77777777" w:rsidR="00ED0E2C" w:rsidRDefault="00ED0E2C">
      <w:r>
        <w:separator/>
      </w:r>
    </w:p>
  </w:endnote>
  <w:endnote w:type="continuationSeparator" w:id="0">
    <w:p w14:paraId="570E4E58" w14:textId="77777777" w:rsidR="00ED0E2C" w:rsidRDefault="00ED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07E47" w14:textId="77777777" w:rsidR="009E258A" w:rsidRDefault="009E2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1902354912"/>
      <w:docPartObj>
        <w:docPartGallery w:val="Page Numbers (Bottom of Page)"/>
        <w:docPartUnique/>
      </w:docPartObj>
    </w:sdtPr>
    <w:sdtEndPr/>
    <w:sdtContent>
      <w:sdt>
        <w:sdtPr>
          <w:rPr>
            <w:sz w:val="22"/>
            <w:szCs w:val="22"/>
          </w:rPr>
          <w:id w:val="-1669238322"/>
          <w:docPartObj>
            <w:docPartGallery w:val="Page Numbers (Top of Page)"/>
            <w:docPartUnique/>
          </w:docPartObj>
        </w:sdtPr>
        <w:sdtEndPr/>
        <w:sdtContent>
          <w:p w14:paraId="0A621D1F" w14:textId="646E8D19" w:rsidR="00931186" w:rsidRPr="00931186" w:rsidRDefault="00931186" w:rsidP="00931186">
            <w:pPr>
              <w:pStyle w:val="Footer"/>
              <w:tabs>
                <w:tab w:val="clear" w:pos="8640"/>
              </w:tabs>
              <w:rPr>
                <w:sz w:val="22"/>
                <w:szCs w:val="22"/>
              </w:rPr>
            </w:pPr>
            <w:r w:rsidRPr="00931186">
              <w:rPr>
                <w:sz w:val="22"/>
                <w:szCs w:val="22"/>
              </w:rPr>
              <w:t>Revised 2020</w:t>
            </w:r>
            <w:r>
              <w:rPr>
                <w:sz w:val="22"/>
                <w:szCs w:val="22"/>
              </w:rPr>
              <w:tab/>
            </w:r>
            <w:r>
              <w:rPr>
                <w:sz w:val="22"/>
                <w:szCs w:val="22"/>
              </w:rPr>
              <w:tab/>
            </w:r>
            <w:r>
              <w:rPr>
                <w:sz w:val="22"/>
                <w:szCs w:val="22"/>
              </w:rPr>
              <w:tab/>
            </w:r>
            <w:r>
              <w:rPr>
                <w:sz w:val="22"/>
                <w:szCs w:val="22"/>
              </w:rPr>
              <w:tab/>
            </w:r>
            <w:r>
              <w:rPr>
                <w:sz w:val="22"/>
                <w:szCs w:val="22"/>
              </w:rPr>
              <w:tab/>
            </w:r>
            <w:r w:rsidR="002A003B">
              <w:rPr>
                <w:sz w:val="22"/>
                <w:szCs w:val="22"/>
              </w:rPr>
              <w:t xml:space="preserve">  10.03A - </w:t>
            </w:r>
            <w:r w:rsidRPr="00931186">
              <w:rPr>
                <w:sz w:val="22"/>
                <w:szCs w:val="22"/>
              </w:rPr>
              <w:t xml:space="preserve">Page </w:t>
            </w:r>
            <w:r w:rsidRPr="00931186">
              <w:rPr>
                <w:bCs/>
                <w:sz w:val="22"/>
                <w:szCs w:val="22"/>
              </w:rPr>
              <w:fldChar w:fldCharType="begin"/>
            </w:r>
            <w:r w:rsidRPr="00931186">
              <w:rPr>
                <w:bCs/>
                <w:sz w:val="22"/>
                <w:szCs w:val="22"/>
              </w:rPr>
              <w:instrText xml:space="preserve"> PAGE </w:instrText>
            </w:r>
            <w:r w:rsidRPr="00931186">
              <w:rPr>
                <w:bCs/>
                <w:sz w:val="22"/>
                <w:szCs w:val="22"/>
              </w:rPr>
              <w:fldChar w:fldCharType="separate"/>
            </w:r>
            <w:r w:rsidR="009B39D8">
              <w:rPr>
                <w:bCs/>
                <w:noProof/>
                <w:sz w:val="22"/>
                <w:szCs w:val="22"/>
              </w:rPr>
              <w:t>1</w:t>
            </w:r>
            <w:r w:rsidRPr="00931186">
              <w:rPr>
                <w:bCs/>
                <w:sz w:val="22"/>
                <w:szCs w:val="22"/>
              </w:rPr>
              <w:fldChar w:fldCharType="end"/>
            </w:r>
            <w:r w:rsidRPr="00931186">
              <w:rPr>
                <w:sz w:val="22"/>
                <w:szCs w:val="22"/>
              </w:rPr>
              <w:t xml:space="preserve"> of </w:t>
            </w:r>
            <w:r w:rsidRPr="00931186">
              <w:rPr>
                <w:bCs/>
                <w:sz w:val="22"/>
                <w:szCs w:val="22"/>
              </w:rPr>
              <w:fldChar w:fldCharType="begin"/>
            </w:r>
            <w:r w:rsidRPr="00931186">
              <w:rPr>
                <w:bCs/>
                <w:sz w:val="22"/>
                <w:szCs w:val="22"/>
              </w:rPr>
              <w:instrText xml:space="preserve"> NUMPAGES  </w:instrText>
            </w:r>
            <w:r w:rsidRPr="00931186">
              <w:rPr>
                <w:bCs/>
                <w:sz w:val="22"/>
                <w:szCs w:val="22"/>
              </w:rPr>
              <w:fldChar w:fldCharType="separate"/>
            </w:r>
            <w:r w:rsidR="009B39D8">
              <w:rPr>
                <w:bCs/>
                <w:noProof/>
                <w:sz w:val="22"/>
                <w:szCs w:val="22"/>
              </w:rPr>
              <w:t>2</w:t>
            </w:r>
            <w:r w:rsidRPr="00931186">
              <w:rPr>
                <w:bCs/>
                <w:sz w:val="22"/>
                <w:szCs w:val="22"/>
              </w:rPr>
              <w:fldChar w:fldCharType="end"/>
            </w:r>
          </w:p>
        </w:sdtContent>
      </w:sdt>
    </w:sdtContent>
  </w:sdt>
  <w:p w14:paraId="45222AB5" w14:textId="2DE76F6A" w:rsidR="00B0012C" w:rsidRPr="00931186" w:rsidRDefault="00B0012C" w:rsidP="009311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4F317" w14:textId="77777777" w:rsidR="009E258A" w:rsidRDefault="009E2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C8052" w14:textId="77777777" w:rsidR="00ED0E2C" w:rsidRDefault="00ED0E2C">
      <w:r>
        <w:separator/>
      </w:r>
    </w:p>
  </w:footnote>
  <w:footnote w:type="continuationSeparator" w:id="0">
    <w:p w14:paraId="1DCAA2A0" w14:textId="77777777" w:rsidR="00ED0E2C" w:rsidRDefault="00ED0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75C1" w14:textId="77777777" w:rsidR="009E258A" w:rsidRDefault="009E2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6366" w14:textId="77777777" w:rsidR="009E258A" w:rsidRDefault="009E2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698DB" w14:textId="77777777" w:rsidR="009E258A" w:rsidRDefault="009E2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k, Jim (ANC)">
    <w15:presenceInfo w15:providerId="AD" w15:userId="S::JLeik@perkinscoie.com::55e93035-3fad-400e-8d2f-588d0d039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05BDD"/>
    <w:rsid w:val="00034890"/>
    <w:rsid w:val="0005512B"/>
    <w:rsid w:val="000C3971"/>
    <w:rsid w:val="000D428E"/>
    <w:rsid w:val="000F79F5"/>
    <w:rsid w:val="001B572F"/>
    <w:rsid w:val="00226E31"/>
    <w:rsid w:val="00227886"/>
    <w:rsid w:val="002326E8"/>
    <w:rsid w:val="002A003B"/>
    <w:rsid w:val="00364D61"/>
    <w:rsid w:val="00372769"/>
    <w:rsid w:val="00376607"/>
    <w:rsid w:val="003A214C"/>
    <w:rsid w:val="003A2717"/>
    <w:rsid w:val="003D28A5"/>
    <w:rsid w:val="00414224"/>
    <w:rsid w:val="004312AF"/>
    <w:rsid w:val="00456231"/>
    <w:rsid w:val="00490850"/>
    <w:rsid w:val="004A3C1A"/>
    <w:rsid w:val="004F16EA"/>
    <w:rsid w:val="00556F22"/>
    <w:rsid w:val="00557844"/>
    <w:rsid w:val="00565482"/>
    <w:rsid w:val="00580526"/>
    <w:rsid w:val="0058752A"/>
    <w:rsid w:val="005B4731"/>
    <w:rsid w:val="005C2DF4"/>
    <w:rsid w:val="005D5B5F"/>
    <w:rsid w:val="006050D9"/>
    <w:rsid w:val="00607FC0"/>
    <w:rsid w:val="00635C52"/>
    <w:rsid w:val="006552AC"/>
    <w:rsid w:val="00664BAF"/>
    <w:rsid w:val="006A3F4A"/>
    <w:rsid w:val="006A60C5"/>
    <w:rsid w:val="006C71CB"/>
    <w:rsid w:val="006E08CD"/>
    <w:rsid w:val="006E4B5F"/>
    <w:rsid w:val="006E4FC8"/>
    <w:rsid w:val="00714F7D"/>
    <w:rsid w:val="0072029E"/>
    <w:rsid w:val="007310CB"/>
    <w:rsid w:val="00744D46"/>
    <w:rsid w:val="00746513"/>
    <w:rsid w:val="00746E68"/>
    <w:rsid w:val="00751FE1"/>
    <w:rsid w:val="007C1642"/>
    <w:rsid w:val="007D7ED9"/>
    <w:rsid w:val="007F186B"/>
    <w:rsid w:val="00846EAF"/>
    <w:rsid w:val="00852A1E"/>
    <w:rsid w:val="00883A32"/>
    <w:rsid w:val="0089281E"/>
    <w:rsid w:val="008A1CB4"/>
    <w:rsid w:val="00900620"/>
    <w:rsid w:val="009049A1"/>
    <w:rsid w:val="00931186"/>
    <w:rsid w:val="00960DC7"/>
    <w:rsid w:val="00971857"/>
    <w:rsid w:val="00974806"/>
    <w:rsid w:val="009B39D8"/>
    <w:rsid w:val="009C5A2F"/>
    <w:rsid w:val="009E070A"/>
    <w:rsid w:val="009E258A"/>
    <w:rsid w:val="009E708B"/>
    <w:rsid w:val="00A13718"/>
    <w:rsid w:val="00A22114"/>
    <w:rsid w:val="00A27772"/>
    <w:rsid w:val="00A55AA5"/>
    <w:rsid w:val="00A57465"/>
    <w:rsid w:val="00A6261D"/>
    <w:rsid w:val="00A6534A"/>
    <w:rsid w:val="00A93B3F"/>
    <w:rsid w:val="00AC2489"/>
    <w:rsid w:val="00AD31C5"/>
    <w:rsid w:val="00AD69AD"/>
    <w:rsid w:val="00B0012C"/>
    <w:rsid w:val="00B32AD7"/>
    <w:rsid w:val="00B37F94"/>
    <w:rsid w:val="00B42C89"/>
    <w:rsid w:val="00B75E6A"/>
    <w:rsid w:val="00B90AE2"/>
    <w:rsid w:val="00B92BAF"/>
    <w:rsid w:val="00B96365"/>
    <w:rsid w:val="00BC1FA2"/>
    <w:rsid w:val="00BD5EAC"/>
    <w:rsid w:val="00BD6929"/>
    <w:rsid w:val="00C02800"/>
    <w:rsid w:val="00C20594"/>
    <w:rsid w:val="00C20FED"/>
    <w:rsid w:val="00C7350A"/>
    <w:rsid w:val="00C9747A"/>
    <w:rsid w:val="00CD0C04"/>
    <w:rsid w:val="00CF7782"/>
    <w:rsid w:val="00D244FB"/>
    <w:rsid w:val="00D43C8B"/>
    <w:rsid w:val="00DB5A76"/>
    <w:rsid w:val="00E0113C"/>
    <w:rsid w:val="00E01D54"/>
    <w:rsid w:val="00E07E76"/>
    <w:rsid w:val="00E15C9B"/>
    <w:rsid w:val="00E3102D"/>
    <w:rsid w:val="00E80AF7"/>
    <w:rsid w:val="00E94B7C"/>
    <w:rsid w:val="00E97698"/>
    <w:rsid w:val="00ED0E2C"/>
    <w:rsid w:val="00F2796C"/>
    <w:rsid w:val="00F551FE"/>
    <w:rsid w:val="00F70C11"/>
    <w:rsid w:val="00F8577C"/>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C7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88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32"/>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0C3971"/>
    <w:rPr>
      <w:sz w:val="16"/>
      <w:szCs w:val="16"/>
    </w:rPr>
  </w:style>
  <w:style w:type="paragraph" w:styleId="CommentText">
    <w:name w:val="annotation text"/>
    <w:basedOn w:val="Normal"/>
    <w:link w:val="CommentTextChar"/>
    <w:uiPriority w:val="99"/>
    <w:semiHidden/>
    <w:unhideWhenUsed/>
    <w:rsid w:val="000C3971"/>
    <w:rPr>
      <w:sz w:val="20"/>
    </w:rPr>
  </w:style>
  <w:style w:type="character" w:customStyle="1" w:styleId="CommentTextChar">
    <w:name w:val="Comment Text Char"/>
    <w:basedOn w:val="DefaultParagraphFont"/>
    <w:link w:val="CommentText"/>
    <w:uiPriority w:val="99"/>
    <w:semiHidden/>
    <w:rsid w:val="000C3971"/>
    <w:rPr>
      <w:snapToGrid w:val="0"/>
    </w:rPr>
  </w:style>
  <w:style w:type="paragraph" w:styleId="CommentSubject">
    <w:name w:val="annotation subject"/>
    <w:basedOn w:val="CommentText"/>
    <w:next w:val="CommentText"/>
    <w:link w:val="CommentSubjectChar"/>
    <w:uiPriority w:val="99"/>
    <w:semiHidden/>
    <w:unhideWhenUsed/>
    <w:rsid w:val="000C3971"/>
    <w:rPr>
      <w:b/>
      <w:bCs/>
    </w:rPr>
  </w:style>
  <w:style w:type="character" w:customStyle="1" w:styleId="CommentSubjectChar">
    <w:name w:val="Comment Subject Char"/>
    <w:basedOn w:val="CommentTextChar"/>
    <w:link w:val="CommentSubject"/>
    <w:uiPriority w:val="99"/>
    <w:semiHidden/>
    <w:rsid w:val="000C3971"/>
    <w:rPr>
      <w:b/>
      <w:bCs/>
      <w:snapToGrid w:val="0"/>
    </w:rPr>
  </w:style>
  <w:style w:type="character" w:customStyle="1" w:styleId="FooterChar">
    <w:name w:val="Footer Char"/>
    <w:basedOn w:val="DefaultParagraphFont"/>
    <w:link w:val="Footer"/>
    <w:uiPriority w:val="99"/>
    <w:rsid w:val="0093118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88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A32"/>
    <w:rPr>
      <w:rFonts w:ascii="Segoe UI" w:hAnsi="Segoe UI" w:cs="Segoe UI"/>
      <w:snapToGrid w:val="0"/>
      <w:sz w:val="18"/>
      <w:szCs w:val="18"/>
    </w:rPr>
  </w:style>
  <w:style w:type="character" w:styleId="CommentReference">
    <w:name w:val="annotation reference"/>
    <w:basedOn w:val="DefaultParagraphFont"/>
    <w:uiPriority w:val="99"/>
    <w:semiHidden/>
    <w:unhideWhenUsed/>
    <w:rsid w:val="000C3971"/>
    <w:rPr>
      <w:sz w:val="16"/>
      <w:szCs w:val="16"/>
    </w:rPr>
  </w:style>
  <w:style w:type="paragraph" w:styleId="CommentText">
    <w:name w:val="annotation text"/>
    <w:basedOn w:val="Normal"/>
    <w:link w:val="CommentTextChar"/>
    <w:uiPriority w:val="99"/>
    <w:semiHidden/>
    <w:unhideWhenUsed/>
    <w:rsid w:val="000C3971"/>
    <w:rPr>
      <w:sz w:val="20"/>
    </w:rPr>
  </w:style>
  <w:style w:type="character" w:customStyle="1" w:styleId="CommentTextChar">
    <w:name w:val="Comment Text Char"/>
    <w:basedOn w:val="DefaultParagraphFont"/>
    <w:link w:val="CommentText"/>
    <w:uiPriority w:val="99"/>
    <w:semiHidden/>
    <w:rsid w:val="000C3971"/>
    <w:rPr>
      <w:snapToGrid w:val="0"/>
    </w:rPr>
  </w:style>
  <w:style w:type="paragraph" w:styleId="CommentSubject">
    <w:name w:val="annotation subject"/>
    <w:basedOn w:val="CommentText"/>
    <w:next w:val="CommentText"/>
    <w:link w:val="CommentSubjectChar"/>
    <w:uiPriority w:val="99"/>
    <w:semiHidden/>
    <w:unhideWhenUsed/>
    <w:rsid w:val="000C3971"/>
    <w:rPr>
      <w:b/>
      <w:bCs/>
    </w:rPr>
  </w:style>
  <w:style w:type="character" w:customStyle="1" w:styleId="CommentSubjectChar">
    <w:name w:val="Comment Subject Char"/>
    <w:basedOn w:val="CommentTextChar"/>
    <w:link w:val="CommentSubject"/>
    <w:uiPriority w:val="99"/>
    <w:semiHidden/>
    <w:rsid w:val="000C3971"/>
    <w:rPr>
      <w:b/>
      <w:bCs/>
      <w:snapToGrid w:val="0"/>
    </w:rPr>
  </w:style>
  <w:style w:type="character" w:customStyle="1" w:styleId="FooterChar">
    <w:name w:val="Footer Char"/>
    <w:basedOn w:val="DefaultParagraphFont"/>
    <w:link w:val="Footer"/>
    <w:uiPriority w:val="99"/>
    <w:rsid w:val="00931186"/>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69409">
      <w:bodyDiv w:val="1"/>
      <w:marLeft w:val="0"/>
      <w:marRight w:val="0"/>
      <w:marTop w:val="0"/>
      <w:marBottom w:val="0"/>
      <w:divBdr>
        <w:top w:val="none" w:sz="0" w:space="0" w:color="auto"/>
        <w:left w:val="none" w:sz="0" w:space="0" w:color="auto"/>
        <w:bottom w:val="none" w:sz="0" w:space="0" w:color="auto"/>
        <w:right w:val="none" w:sz="0" w:space="0" w:color="auto"/>
      </w:divBdr>
      <w:divsChild>
        <w:div w:id="396708223">
          <w:marLeft w:val="0"/>
          <w:marRight w:val="0"/>
          <w:marTop w:val="0"/>
          <w:marBottom w:val="0"/>
          <w:divBdr>
            <w:top w:val="none" w:sz="0" w:space="0" w:color="auto"/>
            <w:left w:val="none" w:sz="0" w:space="0" w:color="auto"/>
            <w:bottom w:val="none" w:sz="0" w:space="0" w:color="auto"/>
            <w:right w:val="none" w:sz="0" w:space="0" w:color="auto"/>
          </w:divBdr>
          <w:divsChild>
            <w:div w:id="1554266744">
              <w:marLeft w:val="0"/>
              <w:marRight w:val="0"/>
              <w:marTop w:val="0"/>
              <w:marBottom w:val="0"/>
              <w:divBdr>
                <w:top w:val="none" w:sz="0" w:space="0" w:color="auto"/>
                <w:left w:val="none" w:sz="0" w:space="0" w:color="auto"/>
                <w:bottom w:val="none" w:sz="0" w:space="0" w:color="auto"/>
                <w:right w:val="none" w:sz="0" w:space="0" w:color="auto"/>
              </w:divBdr>
              <w:divsChild>
                <w:div w:id="846480934">
                  <w:marLeft w:val="0"/>
                  <w:marRight w:val="0"/>
                  <w:marTop w:val="0"/>
                  <w:marBottom w:val="0"/>
                  <w:divBdr>
                    <w:top w:val="none" w:sz="0" w:space="0" w:color="auto"/>
                    <w:left w:val="none" w:sz="0" w:space="0" w:color="auto"/>
                    <w:bottom w:val="none" w:sz="0" w:space="0" w:color="auto"/>
                    <w:right w:val="none" w:sz="0" w:space="0" w:color="auto"/>
                  </w:divBdr>
                  <w:divsChild>
                    <w:div w:id="1278560663">
                      <w:marLeft w:val="0"/>
                      <w:marRight w:val="0"/>
                      <w:marTop w:val="0"/>
                      <w:marBottom w:val="0"/>
                      <w:divBdr>
                        <w:top w:val="none" w:sz="0" w:space="0" w:color="auto"/>
                        <w:left w:val="none" w:sz="0" w:space="0" w:color="auto"/>
                        <w:bottom w:val="none" w:sz="0" w:space="0" w:color="auto"/>
                        <w:right w:val="none" w:sz="0" w:space="0" w:color="auto"/>
                      </w:divBdr>
                    </w:div>
                  </w:divsChild>
                </w:div>
                <w:div w:id="1465738699">
                  <w:marLeft w:val="0"/>
                  <w:marRight w:val="0"/>
                  <w:marTop w:val="0"/>
                  <w:marBottom w:val="0"/>
                  <w:divBdr>
                    <w:top w:val="none" w:sz="0" w:space="0" w:color="auto"/>
                    <w:left w:val="none" w:sz="0" w:space="0" w:color="auto"/>
                    <w:bottom w:val="none" w:sz="0" w:space="0" w:color="auto"/>
                    <w:right w:val="none" w:sz="0" w:space="0" w:color="auto"/>
                  </w:divBdr>
                  <w:divsChild>
                    <w:div w:id="844366156">
                      <w:marLeft w:val="0"/>
                      <w:marRight w:val="0"/>
                      <w:marTop w:val="0"/>
                      <w:marBottom w:val="0"/>
                      <w:divBdr>
                        <w:top w:val="none" w:sz="0" w:space="0" w:color="auto"/>
                        <w:left w:val="none" w:sz="0" w:space="0" w:color="auto"/>
                        <w:bottom w:val="none" w:sz="0" w:space="0" w:color="auto"/>
                        <w:right w:val="none" w:sz="0" w:space="0" w:color="auto"/>
                      </w:divBdr>
                    </w:div>
                  </w:divsChild>
                </w:div>
                <w:div w:id="10681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73038">
      <w:bodyDiv w:val="1"/>
      <w:marLeft w:val="0"/>
      <w:marRight w:val="0"/>
      <w:marTop w:val="0"/>
      <w:marBottom w:val="0"/>
      <w:divBdr>
        <w:top w:val="none" w:sz="0" w:space="0" w:color="auto"/>
        <w:left w:val="none" w:sz="0" w:space="0" w:color="auto"/>
        <w:bottom w:val="none" w:sz="0" w:space="0" w:color="auto"/>
        <w:right w:val="none" w:sz="0" w:space="0" w:color="auto"/>
      </w:divBdr>
      <w:divsChild>
        <w:div w:id="1713798512">
          <w:marLeft w:val="0"/>
          <w:marRight w:val="0"/>
          <w:marTop w:val="0"/>
          <w:marBottom w:val="0"/>
          <w:divBdr>
            <w:top w:val="none" w:sz="0" w:space="0" w:color="auto"/>
            <w:left w:val="none" w:sz="0" w:space="0" w:color="auto"/>
            <w:bottom w:val="none" w:sz="0" w:space="0" w:color="auto"/>
            <w:right w:val="none" w:sz="0" w:space="0" w:color="auto"/>
          </w:divBdr>
          <w:divsChild>
            <w:div w:id="1422025170">
              <w:marLeft w:val="0"/>
              <w:marRight w:val="0"/>
              <w:marTop w:val="0"/>
              <w:marBottom w:val="0"/>
              <w:divBdr>
                <w:top w:val="none" w:sz="0" w:space="0" w:color="auto"/>
                <w:left w:val="none" w:sz="0" w:space="0" w:color="auto"/>
                <w:bottom w:val="none" w:sz="0" w:space="0" w:color="auto"/>
                <w:right w:val="none" w:sz="0" w:space="0" w:color="auto"/>
              </w:divBdr>
              <w:divsChild>
                <w:div w:id="118012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3434">
      <w:bodyDiv w:val="1"/>
      <w:marLeft w:val="0"/>
      <w:marRight w:val="0"/>
      <w:marTop w:val="0"/>
      <w:marBottom w:val="0"/>
      <w:divBdr>
        <w:top w:val="none" w:sz="0" w:space="0" w:color="auto"/>
        <w:left w:val="none" w:sz="0" w:space="0" w:color="auto"/>
        <w:bottom w:val="none" w:sz="0" w:space="0" w:color="auto"/>
        <w:right w:val="none" w:sz="0" w:space="0" w:color="auto"/>
      </w:divBdr>
      <w:divsChild>
        <w:div w:id="1428817219">
          <w:marLeft w:val="0"/>
          <w:marRight w:val="0"/>
          <w:marTop w:val="0"/>
          <w:marBottom w:val="0"/>
          <w:divBdr>
            <w:top w:val="none" w:sz="0" w:space="0" w:color="auto"/>
            <w:left w:val="none" w:sz="0" w:space="0" w:color="auto"/>
            <w:bottom w:val="none" w:sz="0" w:space="0" w:color="auto"/>
            <w:right w:val="none" w:sz="0" w:space="0" w:color="auto"/>
          </w:divBdr>
          <w:divsChild>
            <w:div w:id="1038818612">
              <w:marLeft w:val="0"/>
              <w:marRight w:val="0"/>
              <w:marTop w:val="0"/>
              <w:marBottom w:val="0"/>
              <w:divBdr>
                <w:top w:val="none" w:sz="0" w:space="0" w:color="auto"/>
                <w:left w:val="none" w:sz="0" w:space="0" w:color="auto"/>
                <w:bottom w:val="none" w:sz="0" w:space="0" w:color="auto"/>
                <w:right w:val="none" w:sz="0" w:space="0" w:color="auto"/>
              </w:divBdr>
              <w:divsChild>
                <w:div w:id="16707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4233">
      <w:bodyDiv w:val="1"/>
      <w:marLeft w:val="0"/>
      <w:marRight w:val="0"/>
      <w:marTop w:val="0"/>
      <w:marBottom w:val="0"/>
      <w:divBdr>
        <w:top w:val="none" w:sz="0" w:space="0" w:color="auto"/>
        <w:left w:val="none" w:sz="0" w:space="0" w:color="auto"/>
        <w:bottom w:val="none" w:sz="0" w:space="0" w:color="auto"/>
        <w:right w:val="none" w:sz="0" w:space="0" w:color="auto"/>
      </w:divBdr>
      <w:divsChild>
        <w:div w:id="1959216633">
          <w:marLeft w:val="0"/>
          <w:marRight w:val="0"/>
          <w:marTop w:val="0"/>
          <w:marBottom w:val="0"/>
          <w:divBdr>
            <w:top w:val="none" w:sz="0" w:space="0" w:color="auto"/>
            <w:left w:val="none" w:sz="0" w:space="0" w:color="auto"/>
            <w:bottom w:val="none" w:sz="0" w:space="0" w:color="auto"/>
            <w:right w:val="none" w:sz="0" w:space="0" w:color="auto"/>
          </w:divBdr>
          <w:divsChild>
            <w:div w:id="1121415069">
              <w:marLeft w:val="0"/>
              <w:marRight w:val="0"/>
              <w:marTop w:val="0"/>
              <w:marBottom w:val="0"/>
              <w:divBdr>
                <w:top w:val="none" w:sz="0" w:space="0" w:color="auto"/>
                <w:left w:val="none" w:sz="0" w:space="0" w:color="auto"/>
                <w:bottom w:val="none" w:sz="0" w:space="0" w:color="auto"/>
                <w:right w:val="none" w:sz="0" w:space="0" w:color="auto"/>
              </w:divBdr>
              <w:divsChild>
                <w:div w:id="93258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C2608-DD77-4E87-BE9D-373B12C39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3078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Robertson</dc:creator>
  <cp:lastModifiedBy>Lesa Robertson</cp:lastModifiedBy>
  <cp:revision>3</cp:revision>
  <dcterms:created xsi:type="dcterms:W3CDTF">2020-05-26T23:30:00Z</dcterms:created>
  <dcterms:modified xsi:type="dcterms:W3CDTF">2020-11-02T17:23:00Z</dcterms:modified>
</cp:coreProperties>
</file>