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D7" w:rsidRDefault="00803355" w:rsidP="00A779D7">
      <w:pPr>
        <w:tabs>
          <w:tab w:val="left" w:pos="900"/>
        </w:tabs>
        <w:jc w:val="both"/>
        <w:rPr>
          <w:b/>
          <w:sz w:val="28"/>
          <w:szCs w:val="28"/>
        </w:rPr>
      </w:pPr>
      <w:bookmarkStart w:id="0" w:name="_GoBack"/>
      <w:bookmarkEnd w:id="0"/>
      <w:r w:rsidRPr="00A779D7">
        <w:rPr>
          <w:b/>
          <w:sz w:val="28"/>
          <w:szCs w:val="28"/>
        </w:rPr>
        <w:t>10.03B</w:t>
      </w:r>
      <w:r w:rsidRPr="00A779D7">
        <w:rPr>
          <w:b/>
          <w:sz w:val="28"/>
          <w:szCs w:val="28"/>
        </w:rPr>
        <w:tab/>
      </w:r>
      <w:r w:rsidR="00FF66DA">
        <w:rPr>
          <w:b/>
          <w:sz w:val="28"/>
          <w:szCs w:val="28"/>
        </w:rPr>
        <w:tab/>
      </w:r>
      <w:r w:rsidRPr="00A779D7">
        <w:rPr>
          <w:b/>
          <w:sz w:val="28"/>
          <w:szCs w:val="28"/>
        </w:rPr>
        <w:t>“</w:t>
      </w:r>
      <w:r w:rsidR="00612E12" w:rsidRPr="00A779D7">
        <w:rPr>
          <w:b/>
          <w:sz w:val="28"/>
          <w:szCs w:val="28"/>
        </w:rPr>
        <w:t>UNFAIR</w:t>
      </w:r>
      <w:r w:rsidRPr="00A779D7">
        <w:rPr>
          <w:b/>
          <w:sz w:val="28"/>
          <w:szCs w:val="28"/>
        </w:rPr>
        <w:t xml:space="preserve"> ACT OR PRACTICE” </w:t>
      </w:r>
      <w:r w:rsidR="00612E12" w:rsidRPr="00A779D7">
        <w:rPr>
          <w:b/>
          <w:sz w:val="28"/>
          <w:szCs w:val="28"/>
        </w:rPr>
        <w:t>DEFINED</w:t>
      </w:r>
    </w:p>
    <w:p w:rsidR="00A779D7" w:rsidRDefault="00A779D7" w:rsidP="00A779D7">
      <w:pPr>
        <w:jc w:val="both"/>
        <w:rPr>
          <w:b/>
          <w:sz w:val="28"/>
          <w:szCs w:val="28"/>
        </w:rPr>
      </w:pPr>
    </w:p>
    <w:p w:rsidR="00A779D7" w:rsidRPr="00A779D7" w:rsidRDefault="00A779D7" w:rsidP="00A779D7">
      <w:pPr>
        <w:jc w:val="both"/>
        <w:rPr>
          <w:sz w:val="28"/>
          <w:szCs w:val="28"/>
        </w:rPr>
      </w:pPr>
    </w:p>
    <w:p w:rsidR="0072029E" w:rsidRPr="00A779D7" w:rsidRDefault="00E07E76" w:rsidP="00A779D7">
      <w:pPr>
        <w:spacing w:line="360" w:lineRule="auto"/>
        <w:jc w:val="both"/>
        <w:rPr>
          <w:sz w:val="28"/>
          <w:szCs w:val="28"/>
        </w:rPr>
      </w:pPr>
      <w:r w:rsidRPr="00A779D7">
        <w:rPr>
          <w:sz w:val="28"/>
          <w:szCs w:val="28"/>
        </w:rPr>
        <w:t>In deciding whether an act or practice is unfair, y</w:t>
      </w:r>
      <w:r w:rsidR="00C20FED" w:rsidRPr="00A779D7">
        <w:rPr>
          <w:sz w:val="28"/>
          <w:szCs w:val="28"/>
        </w:rPr>
        <w:t>ou should consider the following factors:</w:t>
      </w:r>
    </w:p>
    <w:p w:rsidR="00C20FED" w:rsidRPr="00A779D7" w:rsidRDefault="00C20FED" w:rsidP="00A779D7">
      <w:pPr>
        <w:spacing w:line="360" w:lineRule="auto"/>
        <w:ind w:left="1440" w:hanging="720"/>
        <w:jc w:val="both"/>
        <w:rPr>
          <w:sz w:val="28"/>
          <w:szCs w:val="28"/>
        </w:rPr>
      </w:pPr>
      <w:r w:rsidRPr="00A779D7">
        <w:rPr>
          <w:sz w:val="28"/>
          <w:szCs w:val="28"/>
        </w:rPr>
        <w:t xml:space="preserve">(1) </w:t>
      </w:r>
      <w:r w:rsidR="00612E12" w:rsidRPr="00A779D7">
        <w:rPr>
          <w:sz w:val="28"/>
          <w:szCs w:val="28"/>
        </w:rPr>
        <w:tab/>
      </w:r>
      <w:r w:rsidRPr="00A779D7">
        <w:rPr>
          <w:sz w:val="28"/>
          <w:szCs w:val="28"/>
        </w:rPr>
        <w:t>whether the act or practice offends public policy, that is, whether it falls within some existing concept of unfairness that society has established through law or otherwise;</w:t>
      </w:r>
    </w:p>
    <w:p w:rsidR="00C20FED" w:rsidRPr="00A779D7" w:rsidRDefault="00C20FED" w:rsidP="00A779D7">
      <w:pPr>
        <w:spacing w:line="360" w:lineRule="auto"/>
        <w:ind w:left="1440" w:hanging="720"/>
        <w:jc w:val="both"/>
        <w:rPr>
          <w:sz w:val="28"/>
          <w:szCs w:val="28"/>
        </w:rPr>
      </w:pPr>
      <w:r w:rsidRPr="00A779D7">
        <w:rPr>
          <w:sz w:val="28"/>
          <w:szCs w:val="28"/>
        </w:rPr>
        <w:t xml:space="preserve">(2) </w:t>
      </w:r>
      <w:r w:rsidR="00612E12" w:rsidRPr="00A779D7">
        <w:rPr>
          <w:sz w:val="28"/>
          <w:szCs w:val="28"/>
        </w:rPr>
        <w:tab/>
      </w:r>
      <w:proofErr w:type="gramStart"/>
      <w:r w:rsidRPr="00A779D7">
        <w:rPr>
          <w:sz w:val="28"/>
          <w:szCs w:val="28"/>
        </w:rPr>
        <w:t>whether</w:t>
      </w:r>
      <w:proofErr w:type="gramEnd"/>
      <w:r w:rsidRPr="00A779D7">
        <w:rPr>
          <w:sz w:val="28"/>
          <w:szCs w:val="28"/>
        </w:rPr>
        <w:t xml:space="preserve"> the act or practice is immoral, unethical, oppressive, or unscrupulous; </w:t>
      </w:r>
      <w:r w:rsidR="00EA3518" w:rsidRPr="00A779D7">
        <w:rPr>
          <w:sz w:val="28"/>
          <w:szCs w:val="28"/>
        </w:rPr>
        <w:t>or</w:t>
      </w:r>
    </w:p>
    <w:p w:rsidR="00C20FED" w:rsidRPr="00A779D7" w:rsidRDefault="00C20FED" w:rsidP="00A779D7">
      <w:pPr>
        <w:spacing w:line="360" w:lineRule="auto"/>
        <w:ind w:left="1440" w:hanging="720"/>
        <w:jc w:val="both"/>
        <w:rPr>
          <w:sz w:val="28"/>
          <w:szCs w:val="28"/>
        </w:rPr>
      </w:pPr>
      <w:r w:rsidRPr="00A779D7">
        <w:rPr>
          <w:sz w:val="28"/>
          <w:szCs w:val="28"/>
        </w:rPr>
        <w:t xml:space="preserve">(3) </w:t>
      </w:r>
      <w:r w:rsidR="00612E12" w:rsidRPr="00A779D7">
        <w:rPr>
          <w:sz w:val="28"/>
          <w:szCs w:val="28"/>
        </w:rPr>
        <w:tab/>
      </w:r>
      <w:proofErr w:type="gramStart"/>
      <w:r w:rsidRPr="00A779D7">
        <w:rPr>
          <w:sz w:val="28"/>
          <w:szCs w:val="28"/>
        </w:rPr>
        <w:t>whether</w:t>
      </w:r>
      <w:proofErr w:type="gramEnd"/>
      <w:r w:rsidRPr="00A779D7">
        <w:rPr>
          <w:sz w:val="28"/>
          <w:szCs w:val="28"/>
        </w:rPr>
        <w:t xml:space="preserve"> the act or practice causes substantial injury to </w:t>
      </w:r>
      <w:r w:rsidR="00CA39B9" w:rsidRPr="00A779D7">
        <w:rPr>
          <w:sz w:val="28"/>
          <w:szCs w:val="28"/>
        </w:rPr>
        <w:t>[</w:t>
      </w:r>
      <w:r w:rsidRPr="00A779D7">
        <w:rPr>
          <w:sz w:val="28"/>
          <w:szCs w:val="28"/>
        </w:rPr>
        <w:t>consumers</w:t>
      </w:r>
      <w:r w:rsidR="00CA39B9" w:rsidRPr="00A779D7">
        <w:rPr>
          <w:sz w:val="28"/>
          <w:szCs w:val="28"/>
        </w:rPr>
        <w:t xml:space="preserve"> or competitors or businesses]</w:t>
      </w:r>
      <w:r w:rsidRPr="00A779D7">
        <w:rPr>
          <w:sz w:val="28"/>
          <w:szCs w:val="28"/>
        </w:rPr>
        <w:t>.  “Substantial injury” is injury that is not trivial or speculative</w:t>
      </w:r>
      <w:r w:rsidR="00363010" w:rsidRPr="00A779D7">
        <w:rPr>
          <w:sz w:val="28"/>
          <w:szCs w:val="28"/>
        </w:rPr>
        <w:t>.</w:t>
      </w:r>
      <w:r w:rsidRPr="00A779D7">
        <w:rPr>
          <w:sz w:val="28"/>
          <w:szCs w:val="28"/>
        </w:rPr>
        <w:t xml:space="preserve">  </w:t>
      </w:r>
    </w:p>
    <w:p w:rsidR="00A779D7" w:rsidRDefault="00C20FED" w:rsidP="00A779D7">
      <w:pPr>
        <w:spacing w:line="360" w:lineRule="auto"/>
        <w:jc w:val="both"/>
        <w:rPr>
          <w:sz w:val="28"/>
          <w:szCs w:val="28"/>
        </w:rPr>
      </w:pPr>
      <w:r w:rsidRPr="00A779D7">
        <w:rPr>
          <w:sz w:val="28"/>
          <w:szCs w:val="28"/>
        </w:rPr>
        <w:t xml:space="preserve">Unfairness may be found because of the degree to which the act or practice meets </w:t>
      </w:r>
      <w:proofErr w:type="gramStart"/>
      <w:r w:rsidRPr="00A779D7">
        <w:rPr>
          <w:sz w:val="28"/>
          <w:szCs w:val="28"/>
        </w:rPr>
        <w:t>one</w:t>
      </w:r>
      <w:proofErr w:type="gramEnd"/>
      <w:r w:rsidRPr="00A779D7">
        <w:rPr>
          <w:sz w:val="28"/>
          <w:szCs w:val="28"/>
        </w:rPr>
        <w:t xml:space="preserve"> or more of these factors.</w:t>
      </w:r>
      <w:r w:rsidR="00E07E76" w:rsidRPr="00A779D7">
        <w:rPr>
          <w:sz w:val="28"/>
          <w:szCs w:val="28"/>
        </w:rPr>
        <w:t xml:space="preserve"> An act or practice may be unfair even though it is not deceptive.</w:t>
      </w:r>
    </w:p>
    <w:p w:rsidR="00A779D7" w:rsidRDefault="00A779D7" w:rsidP="00A779D7">
      <w:pPr>
        <w:spacing w:line="360" w:lineRule="auto"/>
        <w:jc w:val="both"/>
        <w:rPr>
          <w:sz w:val="28"/>
          <w:szCs w:val="28"/>
        </w:rPr>
      </w:pPr>
    </w:p>
    <w:p w:rsidR="00BE172A" w:rsidRPr="00A779D7" w:rsidRDefault="005E63F9" w:rsidP="00A779D7">
      <w:pPr>
        <w:jc w:val="center"/>
        <w:rPr>
          <w:b/>
          <w:sz w:val="28"/>
          <w:szCs w:val="28"/>
          <w:u w:val="single"/>
        </w:rPr>
      </w:pPr>
      <w:r w:rsidRPr="00A779D7">
        <w:rPr>
          <w:b/>
          <w:sz w:val="28"/>
          <w:szCs w:val="28"/>
          <w:u w:val="single"/>
        </w:rPr>
        <w:t>Use Note</w:t>
      </w:r>
    </w:p>
    <w:p w:rsidR="00BE172A" w:rsidRPr="00A779D7" w:rsidRDefault="00BE172A" w:rsidP="00A779D7">
      <w:pPr>
        <w:pStyle w:val="center"/>
        <w:spacing w:before="0" w:line="240" w:lineRule="auto"/>
        <w:ind w:right="720"/>
        <w:rPr>
          <w:sz w:val="28"/>
          <w:szCs w:val="28"/>
          <w:u w:val="single"/>
        </w:rPr>
      </w:pPr>
    </w:p>
    <w:p w:rsidR="006F0370" w:rsidRPr="00A779D7" w:rsidRDefault="00D70E16" w:rsidP="006F0370">
      <w:pPr>
        <w:jc w:val="both"/>
        <w:rPr>
          <w:sz w:val="28"/>
          <w:szCs w:val="28"/>
        </w:rPr>
      </w:pPr>
      <w:r w:rsidRPr="00A779D7">
        <w:rPr>
          <w:sz w:val="28"/>
          <w:szCs w:val="28"/>
        </w:rPr>
        <w:t xml:space="preserve">This instruction is intended for use when the plaintiff alleges unfair or deceptive practices not specified in AS 45.50.471(b).  It should be given whenever the court gives Instruction 10.01(A).  </w:t>
      </w:r>
      <w:r w:rsidR="006F0370" w:rsidRPr="00A779D7">
        <w:rPr>
          <w:sz w:val="28"/>
          <w:szCs w:val="28"/>
        </w:rPr>
        <w:t>This instruction should not be given with Instruction 10.01B, except as explained below.</w:t>
      </w:r>
    </w:p>
    <w:p w:rsidR="006F0370" w:rsidRPr="00A779D7" w:rsidRDefault="006F0370" w:rsidP="006F0370">
      <w:pPr>
        <w:jc w:val="both"/>
        <w:rPr>
          <w:sz w:val="28"/>
          <w:szCs w:val="28"/>
        </w:rPr>
      </w:pPr>
    </w:p>
    <w:p w:rsidR="006F0370" w:rsidRDefault="006F0370" w:rsidP="00F25EC4">
      <w:pPr>
        <w:jc w:val="both"/>
        <w:rPr>
          <w:sz w:val="28"/>
          <w:szCs w:val="28"/>
        </w:rPr>
      </w:pPr>
      <w:r w:rsidRPr="00A779D7">
        <w:rPr>
          <w:sz w:val="28"/>
          <w:szCs w:val="28"/>
        </w:rPr>
        <w:t xml:space="preserve">If </w:t>
      </w:r>
      <w:r w:rsidR="00F905D2" w:rsidRPr="00A779D7">
        <w:rPr>
          <w:sz w:val="28"/>
          <w:szCs w:val="28"/>
        </w:rPr>
        <w:t xml:space="preserve">the </w:t>
      </w:r>
      <w:r w:rsidRPr="00A779D7">
        <w:rPr>
          <w:sz w:val="28"/>
          <w:szCs w:val="28"/>
        </w:rPr>
        <w:t xml:space="preserve">plaintiff alleges that </w:t>
      </w:r>
      <w:r w:rsidR="00F905D2" w:rsidRPr="00A779D7">
        <w:rPr>
          <w:sz w:val="28"/>
          <w:szCs w:val="28"/>
        </w:rPr>
        <w:t xml:space="preserve">the </w:t>
      </w:r>
      <w:r w:rsidRPr="00A779D7">
        <w:rPr>
          <w:sz w:val="28"/>
          <w:szCs w:val="28"/>
        </w:rPr>
        <w:t xml:space="preserve">defendant engaged in conduct that constituted a violation of 45.50.471(a) and that the defendant also engaged in conduct that violated one of the specific prohibitions listed in AS 45.50.471(b), Instruction </w:t>
      </w:r>
      <w:r w:rsidR="00D70E16" w:rsidRPr="00A779D7">
        <w:rPr>
          <w:sz w:val="28"/>
          <w:szCs w:val="28"/>
        </w:rPr>
        <w:t>1</w:t>
      </w:r>
      <w:r w:rsidRPr="00A779D7">
        <w:rPr>
          <w:sz w:val="28"/>
          <w:szCs w:val="28"/>
        </w:rPr>
        <w:t xml:space="preserve">0.03B must be given, but </w:t>
      </w:r>
      <w:r w:rsidR="00D70E16" w:rsidRPr="00A779D7">
        <w:rPr>
          <w:sz w:val="28"/>
          <w:szCs w:val="28"/>
        </w:rPr>
        <w:t>it</w:t>
      </w:r>
      <w:r w:rsidRPr="00A779D7">
        <w:rPr>
          <w:sz w:val="28"/>
          <w:szCs w:val="28"/>
        </w:rPr>
        <w:t xml:space="preserve"> must be modified to explain that </w:t>
      </w:r>
      <w:r w:rsidR="00D70E16" w:rsidRPr="00A779D7">
        <w:rPr>
          <w:sz w:val="28"/>
          <w:szCs w:val="28"/>
        </w:rPr>
        <w:t>it does</w:t>
      </w:r>
      <w:r w:rsidRPr="00A779D7">
        <w:rPr>
          <w:sz w:val="28"/>
          <w:szCs w:val="28"/>
        </w:rPr>
        <w:t xml:space="preserve"> not apply to the claims that are based on AS 45.50.471(b).  </w:t>
      </w:r>
    </w:p>
    <w:p w:rsidR="00A779D7" w:rsidRDefault="00A779D7" w:rsidP="00F25EC4">
      <w:pPr>
        <w:jc w:val="both"/>
        <w:rPr>
          <w:sz w:val="28"/>
          <w:szCs w:val="28"/>
        </w:rPr>
      </w:pPr>
    </w:p>
    <w:p w:rsidR="00A779D7" w:rsidRDefault="00A779D7" w:rsidP="00F25EC4">
      <w:pPr>
        <w:jc w:val="both"/>
        <w:rPr>
          <w:sz w:val="28"/>
          <w:szCs w:val="28"/>
        </w:rPr>
      </w:pPr>
    </w:p>
    <w:p w:rsidR="00A779D7" w:rsidRDefault="00A779D7" w:rsidP="00F25EC4">
      <w:pPr>
        <w:jc w:val="both"/>
        <w:rPr>
          <w:sz w:val="28"/>
          <w:szCs w:val="28"/>
        </w:rPr>
      </w:pPr>
    </w:p>
    <w:p w:rsidR="00A779D7" w:rsidRDefault="00A779D7" w:rsidP="00F25EC4">
      <w:pPr>
        <w:jc w:val="both"/>
        <w:rPr>
          <w:sz w:val="28"/>
          <w:szCs w:val="28"/>
        </w:rPr>
      </w:pPr>
    </w:p>
    <w:p w:rsidR="00C20FED" w:rsidRPr="00A779D7" w:rsidRDefault="00C20FED" w:rsidP="00F25EC4">
      <w:pPr>
        <w:jc w:val="center"/>
        <w:rPr>
          <w:b/>
          <w:sz w:val="28"/>
          <w:szCs w:val="28"/>
          <w:u w:val="single"/>
        </w:rPr>
      </w:pPr>
      <w:r w:rsidRPr="00A779D7">
        <w:rPr>
          <w:b/>
          <w:sz w:val="28"/>
          <w:szCs w:val="28"/>
          <w:u w:val="single"/>
        </w:rPr>
        <w:lastRenderedPageBreak/>
        <w:t>Comment</w:t>
      </w:r>
    </w:p>
    <w:p w:rsidR="005E63F9" w:rsidRPr="00A779D7" w:rsidRDefault="005E63F9" w:rsidP="00F25EC4">
      <w:pPr>
        <w:jc w:val="both"/>
        <w:rPr>
          <w:sz w:val="28"/>
          <w:szCs w:val="28"/>
          <w:u w:val="single"/>
        </w:rPr>
      </w:pPr>
    </w:p>
    <w:p w:rsidR="00407B30" w:rsidRPr="00A779D7" w:rsidRDefault="00C20FED" w:rsidP="00EA3518">
      <w:pPr>
        <w:jc w:val="both"/>
        <w:rPr>
          <w:sz w:val="28"/>
          <w:szCs w:val="28"/>
        </w:rPr>
      </w:pPr>
      <w:r w:rsidRPr="00A779D7">
        <w:rPr>
          <w:sz w:val="28"/>
          <w:szCs w:val="28"/>
        </w:rPr>
        <w:t>Th</w:t>
      </w:r>
      <w:r w:rsidR="00FF5DFE" w:rsidRPr="00A779D7">
        <w:rPr>
          <w:sz w:val="28"/>
          <w:szCs w:val="28"/>
        </w:rPr>
        <w:t>e</w:t>
      </w:r>
      <w:r w:rsidRPr="00A779D7">
        <w:rPr>
          <w:sz w:val="28"/>
          <w:szCs w:val="28"/>
        </w:rPr>
        <w:t xml:space="preserve"> three</w:t>
      </w:r>
      <w:r w:rsidR="00803355" w:rsidRPr="00A779D7">
        <w:rPr>
          <w:sz w:val="28"/>
          <w:szCs w:val="28"/>
        </w:rPr>
        <w:t xml:space="preserve"> </w:t>
      </w:r>
      <w:r w:rsidR="00FF5DFE" w:rsidRPr="00A779D7">
        <w:rPr>
          <w:sz w:val="28"/>
          <w:szCs w:val="28"/>
        </w:rPr>
        <w:t>factors are from</w:t>
      </w:r>
      <w:r w:rsidRPr="00A779D7">
        <w:rPr>
          <w:sz w:val="28"/>
          <w:szCs w:val="28"/>
        </w:rPr>
        <w:t xml:space="preserve"> </w:t>
      </w:r>
      <w:r w:rsidRPr="00A779D7">
        <w:rPr>
          <w:i/>
          <w:sz w:val="28"/>
          <w:szCs w:val="28"/>
        </w:rPr>
        <w:t>State v. O’Neill Investigations, Inc.</w:t>
      </w:r>
      <w:r w:rsidRPr="00A779D7">
        <w:rPr>
          <w:sz w:val="28"/>
          <w:szCs w:val="28"/>
        </w:rPr>
        <w:t xml:space="preserve">, 609 P.2d 520, 534-35 (Alaska 1980).  This is commonly known as the “Cigarette Rule” or the “S&amp;H test” following the U.S. Supreme Court decision in </w:t>
      </w:r>
      <w:r w:rsidRPr="00A779D7">
        <w:rPr>
          <w:i/>
          <w:sz w:val="28"/>
          <w:szCs w:val="28"/>
        </w:rPr>
        <w:t>Federal Trade Commission v. Sperry &amp; Hutchinson Co.,</w:t>
      </w:r>
      <w:r w:rsidRPr="00A779D7">
        <w:rPr>
          <w:sz w:val="28"/>
          <w:szCs w:val="28"/>
        </w:rPr>
        <w:t xml:space="preserve"> 405 U.S. 233, 244-45 (1972)</w:t>
      </w:r>
      <w:r w:rsidR="00FF5DFE" w:rsidRPr="00A779D7">
        <w:rPr>
          <w:sz w:val="28"/>
          <w:szCs w:val="28"/>
        </w:rPr>
        <w:t>,</w:t>
      </w:r>
      <w:r w:rsidRPr="00A779D7">
        <w:rPr>
          <w:sz w:val="28"/>
          <w:szCs w:val="28"/>
        </w:rPr>
        <w:t xml:space="preserve"> which recognized that “unfairness” is broader than “deception.” </w:t>
      </w:r>
      <w:r w:rsidR="00EA3518" w:rsidRPr="00A779D7">
        <w:rPr>
          <w:sz w:val="28"/>
          <w:szCs w:val="28"/>
        </w:rPr>
        <w:t xml:space="preserve"> In </w:t>
      </w:r>
      <w:r w:rsidR="00EA3518" w:rsidRPr="00A779D7">
        <w:rPr>
          <w:i/>
          <w:sz w:val="28"/>
          <w:szCs w:val="28"/>
        </w:rPr>
        <w:t>Kenai Chrysler Ctr., Inc. v. Denison</w:t>
      </w:r>
      <w:r w:rsidR="00EA3518" w:rsidRPr="00A779D7">
        <w:rPr>
          <w:sz w:val="28"/>
          <w:szCs w:val="28"/>
        </w:rPr>
        <w:t>, 167 P.3d 1240, 1255 (Alaska 2007), the Alaska Supreme Court affirmed that “’[a] variety of factors can be considered in determining the existence of an unfair practice, including (1) whether the practice, without necessarily having been previously considered unlawful, offends public policy as it has been established by statutes, the common law, or otherwise—whether, in other words, it is within at least the penumbra of some common-law, statutory, or other established concept of unfairness; (2) whether it is immoral, unethical, oppressive, or unscrupulous; (3) whether it causes substantial injury to consumers (or competitors or other businessmen).” (</w:t>
      </w:r>
      <w:proofErr w:type="gramStart"/>
      <w:r w:rsidR="00EA3518" w:rsidRPr="00A779D7">
        <w:rPr>
          <w:sz w:val="28"/>
          <w:szCs w:val="28"/>
        </w:rPr>
        <w:t>quoting</w:t>
      </w:r>
      <w:proofErr w:type="gramEnd"/>
      <w:r w:rsidR="00EA3518" w:rsidRPr="00A779D7">
        <w:rPr>
          <w:sz w:val="28"/>
          <w:szCs w:val="28"/>
        </w:rPr>
        <w:t xml:space="preserve"> </w:t>
      </w:r>
      <w:r w:rsidR="00EA3518" w:rsidRPr="00A779D7">
        <w:rPr>
          <w:i/>
          <w:sz w:val="28"/>
          <w:szCs w:val="28"/>
        </w:rPr>
        <w:t>O’Neill Investigations, Inc.</w:t>
      </w:r>
      <w:r w:rsidR="00EA3518" w:rsidRPr="00A779D7">
        <w:rPr>
          <w:sz w:val="28"/>
          <w:szCs w:val="28"/>
        </w:rPr>
        <w:t>, 609 P.2d at 534-35)</w:t>
      </w:r>
      <w:r w:rsidR="004901BD" w:rsidRPr="00A779D7">
        <w:rPr>
          <w:sz w:val="28"/>
          <w:szCs w:val="28"/>
        </w:rPr>
        <w:t>)</w:t>
      </w:r>
      <w:r w:rsidR="00EA3518" w:rsidRPr="00A779D7">
        <w:rPr>
          <w:sz w:val="28"/>
          <w:szCs w:val="28"/>
        </w:rPr>
        <w:t>.</w:t>
      </w:r>
      <w:r w:rsidR="00407B30" w:rsidRPr="00A779D7">
        <w:rPr>
          <w:sz w:val="28"/>
          <w:szCs w:val="28"/>
        </w:rPr>
        <w:t xml:space="preserve">“All three Sperry factors are not necessary to a finding of unfairness.”  </w:t>
      </w:r>
      <w:proofErr w:type="gramStart"/>
      <w:r w:rsidR="00407B30" w:rsidRPr="00A779D7">
        <w:rPr>
          <w:i/>
          <w:sz w:val="28"/>
          <w:szCs w:val="28"/>
        </w:rPr>
        <w:t>Alaska Tr., LLC v. Ambridge</w:t>
      </w:r>
      <w:r w:rsidR="00407B30" w:rsidRPr="00A779D7">
        <w:rPr>
          <w:sz w:val="28"/>
          <w:szCs w:val="28"/>
        </w:rPr>
        <w:t>, 372 P.3d 207, 226 (Alaska 2016).</w:t>
      </w:r>
      <w:proofErr w:type="gramEnd"/>
      <w:r w:rsidR="00407B30" w:rsidRPr="00A779D7">
        <w:rPr>
          <w:sz w:val="28"/>
          <w:szCs w:val="28"/>
        </w:rPr>
        <w:t xml:space="preserve">  “A practice may be unfair because of the degree to which it meets one of the criteria or because to a lesser degree it meets all three.”  </w:t>
      </w:r>
      <w:r w:rsidR="00407B30" w:rsidRPr="00A779D7">
        <w:rPr>
          <w:i/>
          <w:sz w:val="28"/>
          <w:szCs w:val="28"/>
        </w:rPr>
        <w:t>Id.</w:t>
      </w:r>
      <w:r w:rsidR="00407B30" w:rsidRPr="00A779D7">
        <w:rPr>
          <w:sz w:val="28"/>
          <w:szCs w:val="28"/>
        </w:rPr>
        <w:t xml:space="preserve"> (quoting </w:t>
      </w:r>
      <w:r w:rsidR="00407B30" w:rsidRPr="00A779D7">
        <w:rPr>
          <w:i/>
          <w:sz w:val="28"/>
          <w:szCs w:val="28"/>
        </w:rPr>
        <w:t>Robinson v. Toyota Motor Credit Corp.</w:t>
      </w:r>
      <w:r w:rsidR="00407B30" w:rsidRPr="00A779D7">
        <w:rPr>
          <w:sz w:val="28"/>
          <w:szCs w:val="28"/>
        </w:rPr>
        <w:t>, 879, 775 N.E.2d 951, 961 (Ill. 2002)</w:t>
      </w:r>
      <w:r w:rsidR="004901BD" w:rsidRPr="00A779D7">
        <w:rPr>
          <w:sz w:val="28"/>
          <w:szCs w:val="28"/>
        </w:rPr>
        <w:t>)</w:t>
      </w:r>
      <w:r w:rsidR="00407B30" w:rsidRPr="00A779D7">
        <w:rPr>
          <w:sz w:val="28"/>
          <w:szCs w:val="28"/>
        </w:rPr>
        <w:t>.</w:t>
      </w:r>
    </w:p>
    <w:p w:rsidR="00EA3518" w:rsidRPr="00A779D7" w:rsidRDefault="00EA3518" w:rsidP="00EA3518">
      <w:pPr>
        <w:jc w:val="both"/>
        <w:rPr>
          <w:sz w:val="28"/>
          <w:szCs w:val="28"/>
        </w:rPr>
      </w:pPr>
    </w:p>
    <w:p w:rsidR="00C20FED" w:rsidRPr="00A779D7" w:rsidRDefault="00C20FED" w:rsidP="003F68C4">
      <w:pPr>
        <w:jc w:val="both"/>
        <w:rPr>
          <w:sz w:val="28"/>
          <w:szCs w:val="28"/>
        </w:rPr>
      </w:pPr>
      <w:r w:rsidRPr="00A779D7">
        <w:rPr>
          <w:sz w:val="28"/>
          <w:szCs w:val="28"/>
        </w:rPr>
        <w:t>A definition of “substantial injury” is not found in Alaska law.</w:t>
      </w:r>
    </w:p>
    <w:p w:rsidR="00C20FED" w:rsidRPr="00A779D7" w:rsidRDefault="00C20FED" w:rsidP="003F68C4">
      <w:pPr>
        <w:jc w:val="both"/>
        <w:rPr>
          <w:sz w:val="28"/>
          <w:szCs w:val="28"/>
          <w:u w:val="single"/>
        </w:rPr>
      </w:pPr>
    </w:p>
    <w:sectPr w:rsidR="00C20FED" w:rsidRPr="00A779D7" w:rsidSect="00A779D7">
      <w:footerReference w:type="default" r:id="rId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2C" w:rsidRDefault="009D592C">
      <w:r>
        <w:separator/>
      </w:r>
    </w:p>
  </w:endnote>
  <w:endnote w:type="continuationSeparator" w:id="0">
    <w:p w:rsidR="009D592C" w:rsidRDefault="009D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972018"/>
      <w:docPartObj>
        <w:docPartGallery w:val="Page Numbers (Bottom of Page)"/>
        <w:docPartUnique/>
      </w:docPartObj>
    </w:sdtPr>
    <w:sdtEndPr/>
    <w:sdtContent>
      <w:sdt>
        <w:sdtPr>
          <w:rPr>
            <w:sz w:val="22"/>
            <w:szCs w:val="22"/>
          </w:rPr>
          <w:id w:val="98381352"/>
          <w:docPartObj>
            <w:docPartGallery w:val="Page Numbers (Top of Page)"/>
            <w:docPartUnique/>
          </w:docPartObj>
        </w:sdtPr>
        <w:sdtEndPr>
          <w:rPr>
            <w:sz w:val="24"/>
            <w:szCs w:val="20"/>
          </w:rPr>
        </w:sdtEndPr>
        <w:sdtContent>
          <w:p w:rsidR="00A779D7" w:rsidRDefault="00A779D7" w:rsidP="00A779D7">
            <w:pPr>
              <w:pStyle w:val="Footer"/>
              <w:tabs>
                <w:tab w:val="clear" w:pos="8640"/>
              </w:tabs>
            </w:pPr>
            <w:r w:rsidRPr="00A779D7">
              <w:rPr>
                <w:sz w:val="22"/>
                <w:szCs w:val="22"/>
              </w:rPr>
              <w:t>Revised 2020</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A779D7">
              <w:rPr>
                <w:sz w:val="22"/>
                <w:szCs w:val="22"/>
              </w:rPr>
              <w:t xml:space="preserve">Page </w:t>
            </w:r>
            <w:r w:rsidRPr="00A779D7">
              <w:rPr>
                <w:bCs/>
                <w:sz w:val="22"/>
                <w:szCs w:val="22"/>
              </w:rPr>
              <w:fldChar w:fldCharType="begin"/>
            </w:r>
            <w:r w:rsidRPr="00A779D7">
              <w:rPr>
                <w:bCs/>
                <w:sz w:val="22"/>
                <w:szCs w:val="22"/>
              </w:rPr>
              <w:instrText xml:space="preserve"> PAGE </w:instrText>
            </w:r>
            <w:r w:rsidRPr="00A779D7">
              <w:rPr>
                <w:bCs/>
                <w:sz w:val="22"/>
                <w:szCs w:val="22"/>
              </w:rPr>
              <w:fldChar w:fldCharType="separate"/>
            </w:r>
            <w:r w:rsidR="00F533DA">
              <w:rPr>
                <w:bCs/>
                <w:noProof/>
                <w:sz w:val="22"/>
                <w:szCs w:val="22"/>
              </w:rPr>
              <w:t>1</w:t>
            </w:r>
            <w:r w:rsidRPr="00A779D7">
              <w:rPr>
                <w:bCs/>
                <w:sz w:val="22"/>
                <w:szCs w:val="22"/>
              </w:rPr>
              <w:fldChar w:fldCharType="end"/>
            </w:r>
            <w:r w:rsidRPr="00A779D7">
              <w:rPr>
                <w:sz w:val="22"/>
                <w:szCs w:val="22"/>
              </w:rPr>
              <w:t xml:space="preserve"> of </w:t>
            </w:r>
            <w:r w:rsidRPr="00A779D7">
              <w:rPr>
                <w:bCs/>
                <w:sz w:val="22"/>
                <w:szCs w:val="22"/>
              </w:rPr>
              <w:fldChar w:fldCharType="begin"/>
            </w:r>
            <w:r w:rsidRPr="00A779D7">
              <w:rPr>
                <w:bCs/>
                <w:sz w:val="22"/>
                <w:szCs w:val="22"/>
              </w:rPr>
              <w:instrText xml:space="preserve"> NUMPAGES  </w:instrText>
            </w:r>
            <w:r w:rsidRPr="00A779D7">
              <w:rPr>
                <w:bCs/>
                <w:sz w:val="22"/>
                <w:szCs w:val="22"/>
              </w:rPr>
              <w:fldChar w:fldCharType="separate"/>
            </w:r>
            <w:r w:rsidR="00F533DA">
              <w:rPr>
                <w:bCs/>
                <w:noProof/>
                <w:sz w:val="22"/>
                <w:szCs w:val="22"/>
              </w:rPr>
              <w:t>2</w:t>
            </w:r>
            <w:r w:rsidRPr="00A779D7">
              <w:rPr>
                <w:bCs/>
                <w:sz w:val="22"/>
                <w:szCs w:val="22"/>
              </w:rPr>
              <w:fldChar w:fldCharType="end"/>
            </w:r>
          </w:p>
        </w:sdtContent>
      </w:sdt>
    </w:sdtContent>
  </w:sdt>
  <w:p w:rsidR="00A779D7" w:rsidRDefault="00A7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2C" w:rsidRDefault="009D592C">
      <w:r>
        <w:separator/>
      </w:r>
    </w:p>
  </w:footnote>
  <w:footnote w:type="continuationSeparator" w:id="0">
    <w:p w:rsidR="009D592C" w:rsidRDefault="009D5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5"/>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8"/>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9"/>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A"/>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ottee, Christopher J (ANC - X56357)">
    <w15:presenceInfo w15:providerId="AD" w15:userId="S-1-5-21-1836541547-1711626928-1237804090-205292"/>
  </w15:person>
  <w15:person w15:author="Leik, Jim (ANC)">
    <w15:presenceInfo w15:providerId="AD" w15:userId="S::JLeik@perkinscoie.com::55e93035-3fad-400e-8d2f-588d0d039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2B"/>
    <w:rsid w:val="000008A5"/>
    <w:rsid w:val="00047E73"/>
    <w:rsid w:val="0005512B"/>
    <w:rsid w:val="000F79F5"/>
    <w:rsid w:val="00160BBC"/>
    <w:rsid w:val="001B572F"/>
    <w:rsid w:val="001C4AE6"/>
    <w:rsid w:val="00227886"/>
    <w:rsid w:val="002326E8"/>
    <w:rsid w:val="00305DD6"/>
    <w:rsid w:val="00351AE1"/>
    <w:rsid w:val="00363010"/>
    <w:rsid w:val="00364D61"/>
    <w:rsid w:val="00372769"/>
    <w:rsid w:val="0038751A"/>
    <w:rsid w:val="003A214C"/>
    <w:rsid w:val="003A2717"/>
    <w:rsid w:val="003D54FC"/>
    <w:rsid w:val="003F68C4"/>
    <w:rsid w:val="00407B30"/>
    <w:rsid w:val="004312AF"/>
    <w:rsid w:val="00456231"/>
    <w:rsid w:val="004901BD"/>
    <w:rsid w:val="004F6E82"/>
    <w:rsid w:val="00580526"/>
    <w:rsid w:val="0058752A"/>
    <w:rsid w:val="005C2DF4"/>
    <w:rsid w:val="005E63F9"/>
    <w:rsid w:val="006050D9"/>
    <w:rsid w:val="00607FC0"/>
    <w:rsid w:val="00612E12"/>
    <w:rsid w:val="006552AC"/>
    <w:rsid w:val="006708C3"/>
    <w:rsid w:val="006A60C5"/>
    <w:rsid w:val="006C71CB"/>
    <w:rsid w:val="006E08CD"/>
    <w:rsid w:val="006F0370"/>
    <w:rsid w:val="00714F7D"/>
    <w:rsid w:val="0072029E"/>
    <w:rsid w:val="007310CB"/>
    <w:rsid w:val="00751FE1"/>
    <w:rsid w:val="007B2762"/>
    <w:rsid w:val="007C1642"/>
    <w:rsid w:val="007F186B"/>
    <w:rsid w:val="00803355"/>
    <w:rsid w:val="0081268E"/>
    <w:rsid w:val="00846EAF"/>
    <w:rsid w:val="00852A1E"/>
    <w:rsid w:val="008E3287"/>
    <w:rsid w:val="00900620"/>
    <w:rsid w:val="009049A1"/>
    <w:rsid w:val="0095481B"/>
    <w:rsid w:val="00964C19"/>
    <w:rsid w:val="00971857"/>
    <w:rsid w:val="00974AD9"/>
    <w:rsid w:val="009A0F98"/>
    <w:rsid w:val="009C5A2F"/>
    <w:rsid w:val="009D592C"/>
    <w:rsid w:val="00A40A4E"/>
    <w:rsid w:val="00A779D7"/>
    <w:rsid w:val="00AD69AD"/>
    <w:rsid w:val="00B42C89"/>
    <w:rsid w:val="00B92BAF"/>
    <w:rsid w:val="00B96365"/>
    <w:rsid w:val="00BE172A"/>
    <w:rsid w:val="00BE5F1E"/>
    <w:rsid w:val="00C20594"/>
    <w:rsid w:val="00C20FED"/>
    <w:rsid w:val="00C22271"/>
    <w:rsid w:val="00C61014"/>
    <w:rsid w:val="00CA39B9"/>
    <w:rsid w:val="00CC03A5"/>
    <w:rsid w:val="00CE0C88"/>
    <w:rsid w:val="00D2182A"/>
    <w:rsid w:val="00D244FB"/>
    <w:rsid w:val="00D34162"/>
    <w:rsid w:val="00D70E16"/>
    <w:rsid w:val="00DB5A76"/>
    <w:rsid w:val="00E0113C"/>
    <w:rsid w:val="00E07E76"/>
    <w:rsid w:val="00E94B7C"/>
    <w:rsid w:val="00E97698"/>
    <w:rsid w:val="00EA3518"/>
    <w:rsid w:val="00EA6255"/>
    <w:rsid w:val="00EB0BA5"/>
    <w:rsid w:val="00F14762"/>
    <w:rsid w:val="00F25EC4"/>
    <w:rsid w:val="00F533DA"/>
    <w:rsid w:val="00F551FE"/>
    <w:rsid w:val="00F62971"/>
    <w:rsid w:val="00F70C11"/>
    <w:rsid w:val="00F905D2"/>
    <w:rsid w:val="00FE72D8"/>
    <w:rsid w:val="00FF365A"/>
    <w:rsid w:val="00FF530D"/>
    <w:rsid w:val="00FF5DFE"/>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EA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18"/>
    <w:rPr>
      <w:rFonts w:ascii="Segoe UI" w:hAnsi="Segoe UI" w:cs="Segoe UI"/>
      <w:snapToGrid w:val="0"/>
      <w:sz w:val="18"/>
      <w:szCs w:val="18"/>
    </w:rPr>
  </w:style>
  <w:style w:type="character" w:customStyle="1" w:styleId="FooterChar">
    <w:name w:val="Footer Char"/>
    <w:basedOn w:val="DefaultParagraphFont"/>
    <w:link w:val="Footer"/>
    <w:uiPriority w:val="99"/>
    <w:rsid w:val="00A779D7"/>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EA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18"/>
    <w:rPr>
      <w:rFonts w:ascii="Segoe UI" w:hAnsi="Segoe UI" w:cs="Segoe UI"/>
      <w:snapToGrid w:val="0"/>
      <w:sz w:val="18"/>
      <w:szCs w:val="18"/>
    </w:rPr>
  </w:style>
  <w:style w:type="character" w:customStyle="1" w:styleId="FooterChar">
    <w:name w:val="Footer Char"/>
    <w:basedOn w:val="DefaultParagraphFont"/>
    <w:link w:val="Footer"/>
    <w:uiPriority w:val="99"/>
    <w:rsid w:val="00A779D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46030">
      <w:bodyDiv w:val="1"/>
      <w:marLeft w:val="0"/>
      <w:marRight w:val="0"/>
      <w:marTop w:val="0"/>
      <w:marBottom w:val="0"/>
      <w:divBdr>
        <w:top w:val="none" w:sz="0" w:space="0" w:color="auto"/>
        <w:left w:val="none" w:sz="0" w:space="0" w:color="auto"/>
        <w:bottom w:val="none" w:sz="0" w:space="0" w:color="auto"/>
        <w:right w:val="none" w:sz="0" w:space="0" w:color="auto"/>
      </w:divBdr>
      <w:divsChild>
        <w:div w:id="1949196755">
          <w:marLeft w:val="0"/>
          <w:marRight w:val="0"/>
          <w:marTop w:val="0"/>
          <w:marBottom w:val="0"/>
          <w:divBdr>
            <w:top w:val="none" w:sz="0" w:space="0" w:color="auto"/>
            <w:left w:val="none" w:sz="0" w:space="0" w:color="auto"/>
            <w:bottom w:val="none" w:sz="0" w:space="0" w:color="auto"/>
            <w:right w:val="none" w:sz="0" w:space="0" w:color="auto"/>
          </w:divBdr>
          <w:divsChild>
            <w:div w:id="628442070">
              <w:marLeft w:val="0"/>
              <w:marRight w:val="0"/>
              <w:marTop w:val="0"/>
              <w:marBottom w:val="0"/>
              <w:divBdr>
                <w:top w:val="none" w:sz="0" w:space="0" w:color="auto"/>
                <w:left w:val="none" w:sz="0" w:space="0" w:color="auto"/>
                <w:bottom w:val="none" w:sz="0" w:space="0" w:color="auto"/>
                <w:right w:val="none" w:sz="0" w:space="0" w:color="auto"/>
              </w:divBdr>
              <w:divsChild>
                <w:div w:id="282152042">
                  <w:marLeft w:val="0"/>
                  <w:marRight w:val="0"/>
                  <w:marTop w:val="0"/>
                  <w:marBottom w:val="0"/>
                  <w:divBdr>
                    <w:top w:val="none" w:sz="0" w:space="0" w:color="auto"/>
                    <w:left w:val="none" w:sz="0" w:space="0" w:color="auto"/>
                    <w:bottom w:val="none" w:sz="0" w:space="0" w:color="auto"/>
                    <w:right w:val="none" w:sz="0" w:space="0" w:color="auto"/>
                  </w:divBdr>
                </w:div>
                <w:div w:id="629898074">
                  <w:marLeft w:val="0"/>
                  <w:marRight w:val="0"/>
                  <w:marTop w:val="0"/>
                  <w:marBottom w:val="0"/>
                  <w:divBdr>
                    <w:top w:val="none" w:sz="0" w:space="0" w:color="auto"/>
                    <w:left w:val="none" w:sz="0" w:space="0" w:color="auto"/>
                    <w:bottom w:val="none" w:sz="0" w:space="0" w:color="auto"/>
                    <w:right w:val="none" w:sz="0" w:space="0" w:color="auto"/>
                  </w:divBdr>
                  <w:divsChild>
                    <w:div w:id="33701857">
                      <w:marLeft w:val="0"/>
                      <w:marRight w:val="0"/>
                      <w:marTop w:val="0"/>
                      <w:marBottom w:val="0"/>
                      <w:divBdr>
                        <w:top w:val="none" w:sz="0" w:space="0" w:color="auto"/>
                        <w:left w:val="none" w:sz="0" w:space="0" w:color="auto"/>
                        <w:bottom w:val="none" w:sz="0" w:space="0" w:color="auto"/>
                        <w:right w:val="none" w:sz="0" w:space="0" w:color="auto"/>
                      </w:divBdr>
                      <w:divsChild>
                        <w:div w:id="52313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5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77774">
      <w:bodyDiv w:val="1"/>
      <w:marLeft w:val="0"/>
      <w:marRight w:val="0"/>
      <w:marTop w:val="0"/>
      <w:marBottom w:val="0"/>
      <w:divBdr>
        <w:top w:val="none" w:sz="0" w:space="0" w:color="auto"/>
        <w:left w:val="none" w:sz="0" w:space="0" w:color="auto"/>
        <w:bottom w:val="none" w:sz="0" w:space="0" w:color="auto"/>
        <w:right w:val="none" w:sz="0" w:space="0" w:color="auto"/>
      </w:divBdr>
      <w:divsChild>
        <w:div w:id="530922173">
          <w:marLeft w:val="0"/>
          <w:marRight w:val="0"/>
          <w:marTop w:val="0"/>
          <w:marBottom w:val="0"/>
          <w:divBdr>
            <w:top w:val="none" w:sz="0" w:space="0" w:color="auto"/>
            <w:left w:val="none" w:sz="0" w:space="0" w:color="auto"/>
            <w:bottom w:val="none" w:sz="0" w:space="0" w:color="auto"/>
            <w:right w:val="none" w:sz="0" w:space="0" w:color="auto"/>
          </w:divBdr>
          <w:divsChild>
            <w:div w:id="1776631166">
              <w:marLeft w:val="0"/>
              <w:marRight w:val="0"/>
              <w:marTop w:val="0"/>
              <w:marBottom w:val="0"/>
              <w:divBdr>
                <w:top w:val="none" w:sz="0" w:space="0" w:color="auto"/>
                <w:left w:val="none" w:sz="0" w:space="0" w:color="auto"/>
                <w:bottom w:val="none" w:sz="0" w:space="0" w:color="auto"/>
                <w:right w:val="none" w:sz="0" w:space="0" w:color="auto"/>
              </w:divBdr>
              <w:divsChild>
                <w:div w:id="17774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1F22-1E41-4A55-81BB-5146B06A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2517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Kodidine</dc:creator>
  <cp:lastModifiedBy>Sanjay Kodidine</cp:lastModifiedBy>
  <cp:revision>2</cp:revision>
  <cp:lastPrinted>2020-05-21T21:29:00Z</cp:lastPrinted>
  <dcterms:created xsi:type="dcterms:W3CDTF">2020-05-27T21:22:00Z</dcterms:created>
  <dcterms:modified xsi:type="dcterms:W3CDTF">2020-05-27T21:22:00Z</dcterms:modified>
</cp:coreProperties>
</file>