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C169A" w14:textId="77777777" w:rsidR="00C20FED" w:rsidRDefault="00CC3C0D" w:rsidP="00AF2435">
      <w:pPr>
        <w:tabs>
          <w:tab w:val="left" w:pos="1440"/>
        </w:tabs>
        <w:jc w:val="both"/>
        <w:rPr>
          <w:b/>
          <w:sz w:val="28"/>
          <w:szCs w:val="28"/>
        </w:rPr>
      </w:pPr>
      <w:bookmarkStart w:id="0" w:name="_GoBack"/>
      <w:bookmarkEnd w:id="0"/>
      <w:r w:rsidRPr="00955503">
        <w:rPr>
          <w:b/>
          <w:sz w:val="28"/>
          <w:szCs w:val="28"/>
        </w:rPr>
        <w:t xml:space="preserve">10.04 </w:t>
      </w:r>
      <w:r w:rsidR="00133217" w:rsidRPr="00955503">
        <w:rPr>
          <w:b/>
          <w:sz w:val="28"/>
          <w:szCs w:val="28"/>
        </w:rPr>
        <w:tab/>
      </w:r>
      <w:r w:rsidRPr="00955503">
        <w:rPr>
          <w:b/>
          <w:sz w:val="28"/>
          <w:szCs w:val="28"/>
        </w:rPr>
        <w:t>“ASCERTAINABLE LOSS” DEFINED</w:t>
      </w:r>
    </w:p>
    <w:p w14:paraId="0E7C150F" w14:textId="77777777" w:rsidR="00955503" w:rsidRDefault="00955503" w:rsidP="00955503">
      <w:pPr>
        <w:jc w:val="both"/>
        <w:rPr>
          <w:b/>
          <w:sz w:val="28"/>
          <w:szCs w:val="28"/>
        </w:rPr>
      </w:pPr>
    </w:p>
    <w:p w14:paraId="49408C22" w14:textId="77777777" w:rsidR="00955503" w:rsidRPr="00955503" w:rsidRDefault="00955503" w:rsidP="00955503">
      <w:pPr>
        <w:jc w:val="both"/>
        <w:rPr>
          <w:b/>
          <w:sz w:val="28"/>
          <w:szCs w:val="28"/>
        </w:rPr>
      </w:pPr>
    </w:p>
    <w:p w14:paraId="0E0BF9E0" w14:textId="7A0A5CBB" w:rsidR="00DE1BCC" w:rsidRPr="00955503" w:rsidRDefault="00170157" w:rsidP="00955503">
      <w:pPr>
        <w:tabs>
          <w:tab w:val="center" w:pos="4680"/>
        </w:tabs>
        <w:spacing w:line="360" w:lineRule="auto"/>
        <w:jc w:val="both"/>
        <w:rPr>
          <w:sz w:val="28"/>
          <w:szCs w:val="28"/>
        </w:rPr>
      </w:pPr>
      <w:r w:rsidRPr="00955503">
        <w:rPr>
          <w:sz w:val="28"/>
          <w:szCs w:val="28"/>
        </w:rPr>
        <w:t>[P</w:t>
      </w:r>
      <w:r w:rsidR="009C5A2F" w:rsidRPr="00955503">
        <w:rPr>
          <w:sz w:val="28"/>
          <w:szCs w:val="28"/>
        </w:rPr>
        <w:t>laintiff</w:t>
      </w:r>
      <w:r w:rsidRPr="00955503">
        <w:rPr>
          <w:sz w:val="28"/>
          <w:szCs w:val="28"/>
        </w:rPr>
        <w:t>]</w:t>
      </w:r>
      <w:r w:rsidR="009C5A2F" w:rsidRPr="00955503">
        <w:rPr>
          <w:sz w:val="28"/>
          <w:szCs w:val="28"/>
        </w:rPr>
        <w:t xml:space="preserve"> suffered a</w:t>
      </w:r>
      <w:r w:rsidR="00E2690A" w:rsidRPr="00955503">
        <w:rPr>
          <w:sz w:val="28"/>
          <w:szCs w:val="28"/>
        </w:rPr>
        <w:t>n ascertainable</w:t>
      </w:r>
      <w:r w:rsidR="009C5A2F" w:rsidRPr="00955503">
        <w:rPr>
          <w:sz w:val="28"/>
          <w:szCs w:val="28"/>
        </w:rPr>
        <w:t xml:space="preserve"> loss of money or property if [he]</w:t>
      </w:r>
      <w:r w:rsidRPr="00955503">
        <w:rPr>
          <w:sz w:val="28"/>
          <w:szCs w:val="28"/>
        </w:rPr>
        <w:t xml:space="preserve"> </w:t>
      </w:r>
      <w:r w:rsidR="009C5A2F" w:rsidRPr="00955503">
        <w:rPr>
          <w:sz w:val="28"/>
          <w:szCs w:val="28"/>
        </w:rPr>
        <w:t>[she]</w:t>
      </w:r>
      <w:r w:rsidRPr="00955503">
        <w:rPr>
          <w:sz w:val="28"/>
          <w:szCs w:val="28"/>
        </w:rPr>
        <w:t xml:space="preserve"> [it]</w:t>
      </w:r>
      <w:r w:rsidR="00C20FED" w:rsidRPr="00955503">
        <w:rPr>
          <w:sz w:val="28"/>
          <w:szCs w:val="28"/>
        </w:rPr>
        <w:t xml:space="preserve"> received something other than what [he] [she] </w:t>
      </w:r>
      <w:r w:rsidRPr="00955503">
        <w:rPr>
          <w:sz w:val="28"/>
          <w:szCs w:val="28"/>
        </w:rPr>
        <w:t xml:space="preserve">[it] </w:t>
      </w:r>
      <w:r w:rsidR="00C20FED" w:rsidRPr="00955503">
        <w:rPr>
          <w:sz w:val="28"/>
          <w:szCs w:val="28"/>
        </w:rPr>
        <w:t xml:space="preserve">bargained for.  </w:t>
      </w:r>
      <w:r w:rsidRPr="00955503">
        <w:rPr>
          <w:sz w:val="28"/>
          <w:szCs w:val="28"/>
        </w:rPr>
        <w:t>[[P</w:t>
      </w:r>
      <w:r w:rsidR="009C5A2F" w:rsidRPr="00955503">
        <w:rPr>
          <w:sz w:val="28"/>
          <w:szCs w:val="28"/>
        </w:rPr>
        <w:t>laintiff’s</w:t>
      </w:r>
      <w:r w:rsidRPr="00955503">
        <w:rPr>
          <w:sz w:val="28"/>
          <w:szCs w:val="28"/>
        </w:rPr>
        <w:t>]</w:t>
      </w:r>
      <w:r w:rsidR="00C20FED" w:rsidRPr="00955503">
        <w:rPr>
          <w:sz w:val="28"/>
          <w:szCs w:val="28"/>
        </w:rPr>
        <w:t xml:space="preserve"> loss </w:t>
      </w:r>
      <w:r w:rsidR="00E2690A" w:rsidRPr="00955503">
        <w:rPr>
          <w:sz w:val="28"/>
          <w:szCs w:val="28"/>
        </w:rPr>
        <w:t>must be</w:t>
      </w:r>
      <w:r w:rsidR="00C20FED" w:rsidRPr="00955503">
        <w:rPr>
          <w:sz w:val="28"/>
          <w:szCs w:val="28"/>
        </w:rPr>
        <w:t xml:space="preserve"> measurable even </w:t>
      </w:r>
      <w:r w:rsidR="00E2690A" w:rsidRPr="00955503">
        <w:rPr>
          <w:sz w:val="28"/>
          <w:szCs w:val="28"/>
        </w:rPr>
        <w:t xml:space="preserve">if </w:t>
      </w:r>
      <w:r w:rsidR="00C20FED" w:rsidRPr="00955503">
        <w:rPr>
          <w:sz w:val="28"/>
          <w:szCs w:val="28"/>
        </w:rPr>
        <w:t xml:space="preserve">the precise amount of the loss is not known. </w:t>
      </w:r>
    </w:p>
    <w:p w14:paraId="2E37BC2E" w14:textId="77777777" w:rsidR="00955503" w:rsidRDefault="00955503" w:rsidP="00955503">
      <w:pPr>
        <w:tabs>
          <w:tab w:val="center" w:pos="4680"/>
        </w:tabs>
        <w:jc w:val="both"/>
        <w:rPr>
          <w:sz w:val="28"/>
          <w:szCs w:val="28"/>
          <w:u w:val="single"/>
        </w:rPr>
      </w:pPr>
    </w:p>
    <w:p w14:paraId="2B3AF44C" w14:textId="77777777" w:rsidR="00955503" w:rsidRDefault="00955503" w:rsidP="00955503">
      <w:pPr>
        <w:tabs>
          <w:tab w:val="center" w:pos="4680"/>
        </w:tabs>
        <w:jc w:val="both"/>
        <w:rPr>
          <w:sz w:val="28"/>
          <w:szCs w:val="28"/>
          <w:u w:val="single"/>
        </w:rPr>
      </w:pPr>
    </w:p>
    <w:p w14:paraId="5642A6AB" w14:textId="0B33137C" w:rsidR="00101AF5" w:rsidRPr="00955503" w:rsidRDefault="00101AF5" w:rsidP="00955503">
      <w:pPr>
        <w:tabs>
          <w:tab w:val="center" w:pos="4680"/>
        </w:tabs>
        <w:jc w:val="center"/>
        <w:rPr>
          <w:b/>
          <w:sz w:val="28"/>
          <w:szCs w:val="28"/>
          <w:u w:val="single"/>
        </w:rPr>
      </w:pPr>
      <w:r w:rsidRPr="00955503">
        <w:rPr>
          <w:b/>
          <w:sz w:val="28"/>
          <w:szCs w:val="28"/>
          <w:u w:val="single"/>
        </w:rPr>
        <w:t>Use Note</w:t>
      </w:r>
    </w:p>
    <w:p w14:paraId="0FBADB4F" w14:textId="77777777" w:rsidR="00955503" w:rsidRPr="00955503" w:rsidRDefault="00955503" w:rsidP="00955503">
      <w:pPr>
        <w:tabs>
          <w:tab w:val="center" w:pos="4680"/>
        </w:tabs>
        <w:jc w:val="center"/>
        <w:rPr>
          <w:sz w:val="28"/>
          <w:szCs w:val="28"/>
          <w:u w:val="single"/>
        </w:rPr>
      </w:pPr>
    </w:p>
    <w:p w14:paraId="02A7A155" w14:textId="77777777" w:rsidR="00955503" w:rsidRDefault="00101AF5" w:rsidP="00955503">
      <w:pPr>
        <w:tabs>
          <w:tab w:val="center" w:pos="4680"/>
        </w:tabs>
        <w:jc w:val="both"/>
        <w:rPr>
          <w:sz w:val="28"/>
          <w:szCs w:val="28"/>
        </w:rPr>
      </w:pPr>
      <w:r w:rsidRPr="00955503">
        <w:rPr>
          <w:sz w:val="28"/>
          <w:szCs w:val="28"/>
        </w:rPr>
        <w:t>This instruction should be used when AS 10.01A and</w:t>
      </w:r>
      <w:r w:rsidR="00737711" w:rsidRPr="00955503">
        <w:rPr>
          <w:sz w:val="28"/>
          <w:szCs w:val="28"/>
        </w:rPr>
        <w:t>/or</w:t>
      </w:r>
      <w:r w:rsidRPr="00955503">
        <w:rPr>
          <w:sz w:val="28"/>
          <w:szCs w:val="28"/>
        </w:rPr>
        <w:t xml:space="preserve"> AS 10.01B are given.  This instruction can be modified to describe the specific loss plaintiff alleges it has suffered.  </w:t>
      </w:r>
    </w:p>
    <w:p w14:paraId="2E19C8C3" w14:textId="77777777" w:rsidR="00955503" w:rsidRDefault="00955503" w:rsidP="00955503">
      <w:pPr>
        <w:tabs>
          <w:tab w:val="center" w:pos="4680"/>
        </w:tabs>
        <w:jc w:val="center"/>
        <w:rPr>
          <w:sz w:val="28"/>
          <w:szCs w:val="28"/>
        </w:rPr>
      </w:pPr>
    </w:p>
    <w:p w14:paraId="7DF3B601" w14:textId="73E4DDB1" w:rsidR="00C20FED" w:rsidRPr="00955503" w:rsidRDefault="00C20FED" w:rsidP="00955503">
      <w:pPr>
        <w:tabs>
          <w:tab w:val="center" w:pos="4680"/>
        </w:tabs>
        <w:jc w:val="center"/>
        <w:rPr>
          <w:b/>
          <w:sz w:val="28"/>
          <w:szCs w:val="28"/>
        </w:rPr>
      </w:pPr>
      <w:r w:rsidRPr="00955503">
        <w:rPr>
          <w:b/>
          <w:sz w:val="28"/>
          <w:szCs w:val="28"/>
          <w:u w:val="single"/>
        </w:rPr>
        <w:t>Comment</w:t>
      </w:r>
    </w:p>
    <w:p w14:paraId="099A2EB1" w14:textId="77777777" w:rsidR="00C20FED" w:rsidRPr="00955503" w:rsidRDefault="00C20FED" w:rsidP="0058752A">
      <w:pPr>
        <w:ind w:firstLine="720"/>
        <w:jc w:val="both"/>
        <w:rPr>
          <w:sz w:val="28"/>
          <w:szCs w:val="28"/>
        </w:rPr>
      </w:pPr>
      <w:r w:rsidRPr="00955503">
        <w:rPr>
          <w:sz w:val="28"/>
          <w:szCs w:val="28"/>
        </w:rPr>
        <w:t xml:space="preserve"> </w:t>
      </w:r>
    </w:p>
    <w:p w14:paraId="7AFDE62F" w14:textId="6B0B2AEF" w:rsidR="000E2EBB" w:rsidRPr="00955503" w:rsidRDefault="00AD6616" w:rsidP="00DE1BCC">
      <w:pPr>
        <w:jc w:val="both"/>
        <w:rPr>
          <w:sz w:val="28"/>
          <w:szCs w:val="28"/>
        </w:rPr>
      </w:pPr>
      <w:r w:rsidRPr="00955503">
        <w:rPr>
          <w:sz w:val="28"/>
          <w:szCs w:val="28"/>
        </w:rPr>
        <w:t xml:space="preserve">AS 45.50.531(a) states that </w:t>
      </w:r>
      <w:r w:rsidR="000E389A" w:rsidRPr="00955503">
        <w:rPr>
          <w:sz w:val="28"/>
          <w:szCs w:val="28"/>
        </w:rPr>
        <w:t>“[a]</w:t>
      </w:r>
      <w:r w:rsidR="000E389A" w:rsidRPr="00955503">
        <w:rPr>
          <w:color w:val="333333"/>
          <w:sz w:val="28"/>
          <w:szCs w:val="28"/>
          <w:shd w:val="clear" w:color="auto" w:fill="FFFFFF"/>
        </w:rPr>
        <w:t xml:space="preserve"> person who suffers an ascertainable loss of money or property as a result of another person’s act or practice declared unlawful by AS 45.50.471 may bring a civil action to recover for each unlawful act or practice three times the actual damages or $500, whichever is greater.”  </w:t>
      </w:r>
      <w:r w:rsidRPr="00955503">
        <w:rPr>
          <w:sz w:val="28"/>
          <w:szCs w:val="28"/>
        </w:rPr>
        <w:t xml:space="preserve">The </w:t>
      </w:r>
      <w:r w:rsidR="00A636AA" w:rsidRPr="00955503">
        <w:rPr>
          <w:sz w:val="28"/>
          <w:szCs w:val="28"/>
        </w:rPr>
        <w:t xml:space="preserve">Alaska Supreme Court </w:t>
      </w:r>
      <w:r w:rsidRPr="00955503">
        <w:rPr>
          <w:sz w:val="28"/>
          <w:szCs w:val="28"/>
        </w:rPr>
        <w:t xml:space="preserve">has not defined what is meant by </w:t>
      </w:r>
      <w:r w:rsidR="00911647" w:rsidRPr="00955503">
        <w:rPr>
          <w:sz w:val="28"/>
          <w:szCs w:val="28"/>
        </w:rPr>
        <w:t>an “</w:t>
      </w:r>
      <w:r w:rsidRPr="00955503">
        <w:rPr>
          <w:sz w:val="28"/>
          <w:szCs w:val="28"/>
        </w:rPr>
        <w:t>ascert</w:t>
      </w:r>
      <w:r w:rsidR="006674A2" w:rsidRPr="00955503">
        <w:rPr>
          <w:sz w:val="28"/>
          <w:szCs w:val="28"/>
        </w:rPr>
        <w:t>a</w:t>
      </w:r>
      <w:r w:rsidRPr="00955503">
        <w:rPr>
          <w:sz w:val="28"/>
          <w:szCs w:val="28"/>
        </w:rPr>
        <w:t>inable</w:t>
      </w:r>
      <w:r w:rsidR="00911647" w:rsidRPr="00955503">
        <w:rPr>
          <w:sz w:val="28"/>
          <w:szCs w:val="28"/>
        </w:rPr>
        <w:t xml:space="preserve"> loss.”  </w:t>
      </w:r>
      <w:r w:rsidR="00C20FED" w:rsidRPr="00955503">
        <w:rPr>
          <w:sz w:val="28"/>
          <w:szCs w:val="28"/>
        </w:rPr>
        <w:t xml:space="preserve">In a footnote in </w:t>
      </w:r>
      <w:r w:rsidR="00C20FED" w:rsidRPr="00955503">
        <w:rPr>
          <w:i/>
          <w:sz w:val="28"/>
          <w:szCs w:val="28"/>
        </w:rPr>
        <w:t>Garrison v. Dixon</w:t>
      </w:r>
      <w:r w:rsidR="00C20FED" w:rsidRPr="00955503">
        <w:rPr>
          <w:sz w:val="28"/>
          <w:szCs w:val="28"/>
        </w:rPr>
        <w:t xml:space="preserve">, 19 P.3d 1229, 1235 n.22 (Alaska 2001), the </w:t>
      </w:r>
      <w:r w:rsidR="00A636AA" w:rsidRPr="00955503">
        <w:rPr>
          <w:sz w:val="28"/>
          <w:szCs w:val="28"/>
        </w:rPr>
        <w:t>c</w:t>
      </w:r>
      <w:r w:rsidR="00C20FED" w:rsidRPr="00955503">
        <w:rPr>
          <w:sz w:val="28"/>
          <w:szCs w:val="28"/>
        </w:rPr>
        <w:t xml:space="preserve">ourt, without discussion, equated the “ascertainable loss” standard of AS 45.50.531(a) with “monetary losses.”  </w:t>
      </w:r>
      <w:r w:rsidR="000E2EBB" w:rsidRPr="00955503">
        <w:rPr>
          <w:sz w:val="28"/>
          <w:szCs w:val="28"/>
        </w:rPr>
        <w:t>The court, however, has broadly construed the phrase “ascertainable loss of money or property” in</w:t>
      </w:r>
      <w:r w:rsidR="00CA4678" w:rsidRPr="00955503">
        <w:rPr>
          <w:sz w:val="28"/>
          <w:szCs w:val="28"/>
        </w:rPr>
        <w:t xml:space="preserve"> other cases, including in</w:t>
      </w:r>
      <w:r w:rsidR="005A71DA" w:rsidRPr="00955503">
        <w:rPr>
          <w:sz w:val="28"/>
          <w:szCs w:val="28"/>
        </w:rPr>
        <w:t xml:space="preserve"> </w:t>
      </w:r>
      <w:r w:rsidR="00911647" w:rsidRPr="00955503">
        <w:rPr>
          <w:i/>
          <w:sz w:val="28"/>
          <w:szCs w:val="28"/>
        </w:rPr>
        <w:t>Jones v. Westbrook</w:t>
      </w:r>
      <w:r w:rsidR="00911647" w:rsidRPr="00955503">
        <w:rPr>
          <w:sz w:val="28"/>
          <w:szCs w:val="28"/>
        </w:rPr>
        <w:t xml:space="preserve">, 379 P.3d 963, 970 (Alaska 2016), </w:t>
      </w:r>
      <w:r w:rsidR="000E2EBB" w:rsidRPr="00955503">
        <w:rPr>
          <w:sz w:val="28"/>
          <w:szCs w:val="28"/>
        </w:rPr>
        <w:t>where the</w:t>
      </w:r>
      <w:r w:rsidR="00911647" w:rsidRPr="00955503">
        <w:rPr>
          <w:sz w:val="28"/>
          <w:szCs w:val="28"/>
        </w:rPr>
        <w:t xml:space="preserve"> court recognized that the IRS’s recording of a lien against the assets of a debtor constituted an “ascertainable loss” of a creditor who subsequently asserted an UTPA claim </w:t>
      </w:r>
      <w:r w:rsidR="00943613" w:rsidRPr="00955503">
        <w:rPr>
          <w:sz w:val="28"/>
          <w:szCs w:val="28"/>
        </w:rPr>
        <w:t xml:space="preserve">against </w:t>
      </w:r>
      <w:r w:rsidR="00911647" w:rsidRPr="00955503">
        <w:rPr>
          <w:sz w:val="28"/>
          <w:szCs w:val="28"/>
        </w:rPr>
        <w:t xml:space="preserve">his attorney.  </w:t>
      </w:r>
      <w:r w:rsidR="00911647" w:rsidRPr="00955503">
        <w:rPr>
          <w:i/>
          <w:sz w:val="28"/>
          <w:szCs w:val="28"/>
        </w:rPr>
        <w:t>Id.</w:t>
      </w:r>
      <w:r w:rsidR="00911647" w:rsidRPr="00955503">
        <w:rPr>
          <w:sz w:val="28"/>
          <w:szCs w:val="28"/>
        </w:rPr>
        <w:t xml:space="preserve"> at 970 (“Jones's first ‘ascertainable loss’ occurred when the IRS recorded its security interest in Northern Heating's physical assets in October 2011, preempting Jones's ability to fix the alleged mistake in the sale documents and properly secure </w:t>
      </w:r>
      <w:proofErr w:type="spellStart"/>
      <w:r w:rsidR="00911647" w:rsidRPr="00955503">
        <w:rPr>
          <w:sz w:val="28"/>
          <w:szCs w:val="28"/>
        </w:rPr>
        <w:t>Grunwald's</w:t>
      </w:r>
      <w:proofErr w:type="spellEnd"/>
      <w:r w:rsidR="00911647" w:rsidRPr="00955503">
        <w:rPr>
          <w:sz w:val="28"/>
          <w:szCs w:val="28"/>
        </w:rPr>
        <w:t xml:space="preserve"> payments on the promissory note.”)  </w:t>
      </w:r>
      <w:r w:rsidR="00C5483E" w:rsidRPr="00955503">
        <w:rPr>
          <w:sz w:val="28"/>
          <w:szCs w:val="28"/>
        </w:rPr>
        <w:t xml:space="preserve">In </w:t>
      </w:r>
      <w:proofErr w:type="spellStart"/>
      <w:r w:rsidR="00C5483E" w:rsidRPr="00955503">
        <w:rPr>
          <w:i/>
          <w:sz w:val="28"/>
          <w:szCs w:val="28"/>
        </w:rPr>
        <w:t>Cozzetti</w:t>
      </w:r>
      <w:proofErr w:type="spellEnd"/>
      <w:r w:rsidR="00C5483E" w:rsidRPr="00955503">
        <w:rPr>
          <w:i/>
          <w:sz w:val="28"/>
          <w:szCs w:val="28"/>
        </w:rPr>
        <w:t xml:space="preserve"> v. Madrid</w:t>
      </w:r>
      <w:r w:rsidR="00C5483E" w:rsidRPr="00955503">
        <w:rPr>
          <w:sz w:val="28"/>
          <w:szCs w:val="28"/>
        </w:rPr>
        <w:t xml:space="preserve">, 2017 WL 6395736 (Alaska Dec. 13, 2017), a misrepresentation that led a lower court to improperly grant judgment against a party without jurisdiction and without acknowledging the party’s rights as a purchaser qualified as an “ascertainable loss.”  </w:t>
      </w:r>
      <w:proofErr w:type="gramStart"/>
      <w:r w:rsidR="00C5483E" w:rsidRPr="00955503">
        <w:rPr>
          <w:i/>
          <w:sz w:val="28"/>
          <w:szCs w:val="28"/>
        </w:rPr>
        <w:t>Id.</w:t>
      </w:r>
      <w:r w:rsidR="00C5483E" w:rsidRPr="00955503">
        <w:rPr>
          <w:sz w:val="28"/>
          <w:szCs w:val="28"/>
        </w:rPr>
        <w:t xml:space="preserve"> at *9 &amp; n.55.</w:t>
      </w:r>
      <w:proofErr w:type="gramEnd"/>
      <w:r w:rsidR="00C5483E" w:rsidRPr="00955503">
        <w:rPr>
          <w:sz w:val="28"/>
          <w:szCs w:val="28"/>
        </w:rPr>
        <w:t xml:space="preserve">  On the other hand, that same court found that a misrepresentation was not actionable in the absence of evidence that the misrepresentation led to the conveyance or transfer of the mobile home at issue </w:t>
      </w:r>
      <w:r w:rsidR="00C5483E" w:rsidRPr="00955503">
        <w:rPr>
          <w:sz w:val="28"/>
          <w:szCs w:val="28"/>
        </w:rPr>
        <w:lastRenderedPageBreak/>
        <w:t xml:space="preserve">because no ascertainable loss was caused by the act.  </w:t>
      </w:r>
      <w:proofErr w:type="gramStart"/>
      <w:r w:rsidR="00C5483E" w:rsidRPr="00955503">
        <w:rPr>
          <w:i/>
          <w:sz w:val="28"/>
          <w:szCs w:val="28"/>
        </w:rPr>
        <w:t>Id</w:t>
      </w:r>
      <w:r w:rsidR="00C5483E" w:rsidRPr="00955503">
        <w:rPr>
          <w:sz w:val="28"/>
          <w:szCs w:val="28"/>
        </w:rPr>
        <w:t>. at *8 &amp; n.53.</w:t>
      </w:r>
      <w:proofErr w:type="gramEnd"/>
      <w:r w:rsidR="00C5483E" w:rsidRPr="00955503">
        <w:rPr>
          <w:sz w:val="28"/>
          <w:szCs w:val="28"/>
        </w:rPr>
        <w:t xml:space="preserve">  </w:t>
      </w:r>
      <w:r w:rsidR="000E2EBB" w:rsidRPr="00955503">
        <w:rPr>
          <w:sz w:val="28"/>
          <w:szCs w:val="28"/>
        </w:rPr>
        <w:t xml:space="preserve">In contrast, in </w:t>
      </w:r>
      <w:r w:rsidR="000E2EBB" w:rsidRPr="00955503">
        <w:rPr>
          <w:i/>
          <w:sz w:val="28"/>
          <w:szCs w:val="28"/>
        </w:rPr>
        <w:t xml:space="preserve">Donahue v. </w:t>
      </w:r>
      <w:proofErr w:type="spellStart"/>
      <w:r w:rsidR="000E2EBB" w:rsidRPr="00955503">
        <w:rPr>
          <w:i/>
          <w:sz w:val="28"/>
          <w:szCs w:val="28"/>
        </w:rPr>
        <w:t>Ledgends</w:t>
      </w:r>
      <w:proofErr w:type="spellEnd"/>
      <w:r w:rsidR="000E2EBB" w:rsidRPr="00955503">
        <w:rPr>
          <w:i/>
          <w:sz w:val="28"/>
          <w:szCs w:val="28"/>
        </w:rPr>
        <w:t>, Inc</w:t>
      </w:r>
      <w:r w:rsidR="000E2EBB" w:rsidRPr="00955503">
        <w:rPr>
          <w:sz w:val="28"/>
          <w:szCs w:val="28"/>
        </w:rPr>
        <w:t xml:space="preserve">., 331 P.3d 342 (Alaska 2014), the court held that the loss of personal injury claims does not constitute </w:t>
      </w:r>
      <w:r w:rsidR="000E389A" w:rsidRPr="00955503">
        <w:rPr>
          <w:sz w:val="28"/>
          <w:szCs w:val="28"/>
        </w:rPr>
        <w:t xml:space="preserve">an </w:t>
      </w:r>
      <w:r w:rsidR="000E2EBB" w:rsidRPr="00955503">
        <w:rPr>
          <w:sz w:val="28"/>
          <w:szCs w:val="28"/>
        </w:rPr>
        <w:t xml:space="preserve">“ascertainable loss of money or property” because there was nothing in the UTPA’s legislative history that suggested it was intended to supplant tort liability for personal injuries.  </w:t>
      </w:r>
      <w:proofErr w:type="gramStart"/>
      <w:r w:rsidR="000E2EBB" w:rsidRPr="00955503">
        <w:rPr>
          <w:i/>
          <w:sz w:val="28"/>
          <w:szCs w:val="28"/>
        </w:rPr>
        <w:t>Id.</w:t>
      </w:r>
      <w:r w:rsidR="000E2EBB" w:rsidRPr="00955503">
        <w:rPr>
          <w:sz w:val="28"/>
          <w:szCs w:val="28"/>
        </w:rPr>
        <w:t xml:space="preserve"> at 352-53.</w:t>
      </w:r>
      <w:proofErr w:type="gramEnd"/>
      <w:r w:rsidR="000E2EBB" w:rsidRPr="00955503">
        <w:rPr>
          <w:sz w:val="28"/>
          <w:szCs w:val="28"/>
        </w:rPr>
        <w:t xml:space="preserve">  </w:t>
      </w:r>
    </w:p>
    <w:p w14:paraId="79748784" w14:textId="77777777" w:rsidR="00CA4678" w:rsidRPr="00955503" w:rsidRDefault="00CA4678" w:rsidP="00DE1BCC">
      <w:pPr>
        <w:jc w:val="both"/>
        <w:rPr>
          <w:sz w:val="28"/>
          <w:szCs w:val="28"/>
        </w:rPr>
      </w:pPr>
    </w:p>
    <w:p w14:paraId="56AA39BA" w14:textId="3A21BA7E" w:rsidR="00A636AA" w:rsidRPr="00955503" w:rsidRDefault="00C20FED" w:rsidP="00CA4678">
      <w:pPr>
        <w:jc w:val="both"/>
        <w:rPr>
          <w:sz w:val="28"/>
          <w:szCs w:val="28"/>
        </w:rPr>
      </w:pPr>
      <w:r w:rsidRPr="00955503">
        <w:rPr>
          <w:sz w:val="28"/>
          <w:szCs w:val="28"/>
        </w:rPr>
        <w:t xml:space="preserve">Other courts have found that “ascertainable loss” is a standing requirement which, like the rest of the Act, must be liberally construed and that a plaintiff suffers “ascertainable loss” whenever </w:t>
      </w:r>
      <w:r w:rsidR="00170157" w:rsidRPr="00955503">
        <w:rPr>
          <w:sz w:val="28"/>
          <w:szCs w:val="28"/>
        </w:rPr>
        <w:t>the plaintiff</w:t>
      </w:r>
      <w:r w:rsidRPr="00955503">
        <w:rPr>
          <w:sz w:val="28"/>
          <w:szCs w:val="28"/>
        </w:rPr>
        <w:t xml:space="preserve"> receives something other than what </w:t>
      </w:r>
      <w:r w:rsidR="00170157" w:rsidRPr="00955503">
        <w:rPr>
          <w:sz w:val="28"/>
          <w:szCs w:val="28"/>
        </w:rPr>
        <w:t>the plaintiff</w:t>
      </w:r>
      <w:r w:rsidRPr="00955503">
        <w:rPr>
          <w:sz w:val="28"/>
          <w:szCs w:val="28"/>
        </w:rPr>
        <w:t xml:space="preserve"> bargained for, whether better, worse, or simply different.  </w:t>
      </w:r>
      <w:r w:rsidR="00A636AA" w:rsidRPr="00955503">
        <w:rPr>
          <w:sz w:val="28"/>
          <w:szCs w:val="28"/>
        </w:rPr>
        <w:t>A seminal case is</w:t>
      </w:r>
      <w:r w:rsidRPr="00955503">
        <w:rPr>
          <w:sz w:val="28"/>
          <w:szCs w:val="28"/>
        </w:rPr>
        <w:t xml:space="preserve"> </w:t>
      </w:r>
      <w:r w:rsidRPr="00955503">
        <w:rPr>
          <w:i/>
          <w:sz w:val="28"/>
          <w:szCs w:val="28"/>
        </w:rPr>
        <w:t>Hinchliffe v. American Motors Corp.</w:t>
      </w:r>
      <w:r w:rsidRPr="00955503">
        <w:rPr>
          <w:sz w:val="28"/>
          <w:szCs w:val="28"/>
        </w:rPr>
        <w:t>, 440 A.2d 810, 814-15 (Conn. 1981)</w:t>
      </w:r>
      <w:r w:rsidR="00A636AA" w:rsidRPr="00955503">
        <w:rPr>
          <w:sz w:val="28"/>
          <w:szCs w:val="28"/>
        </w:rPr>
        <w:t>, where the court explained:</w:t>
      </w:r>
    </w:p>
    <w:p w14:paraId="52F88D81" w14:textId="7F69F68B" w:rsidR="00A636AA" w:rsidRPr="00955503" w:rsidRDefault="00A636AA" w:rsidP="00A636AA">
      <w:pPr>
        <w:ind w:left="720" w:right="720" w:hanging="720"/>
        <w:jc w:val="both"/>
        <w:rPr>
          <w:sz w:val="28"/>
          <w:szCs w:val="28"/>
        </w:rPr>
      </w:pPr>
      <w:r w:rsidRPr="00955503">
        <w:rPr>
          <w:sz w:val="28"/>
          <w:szCs w:val="28"/>
        </w:rPr>
        <w:br/>
        <w:t xml:space="preserve">Whenever a consumer has received something other than what he bargained for, he has suffered a loss of money or property. That loss is ascertainable if it is measurable even though the precise amount of the loss is not known. [The Unfair Trade Practice Act] is not designed to afford a remedy for trifles. In one sense the buyer has lost the purchase price of the item because he parted with his money reasonably expecting to receive a particular item or service. When the product fails to measure up, the consumer has been injured; he has suffered a loss. In another sense he has lost the benefits of the product which he was led to believe he had purchased. That the loss does not consist of a diminution in value is immaterial, although obviously such diminution would satisfy the statute.  </w:t>
      </w:r>
    </w:p>
    <w:p w14:paraId="18225114" w14:textId="77777777" w:rsidR="00A636AA" w:rsidRPr="00955503" w:rsidRDefault="00A636AA" w:rsidP="00A636AA">
      <w:pPr>
        <w:ind w:left="720" w:right="720" w:hanging="720"/>
        <w:jc w:val="both"/>
        <w:rPr>
          <w:sz w:val="28"/>
          <w:szCs w:val="28"/>
        </w:rPr>
      </w:pPr>
    </w:p>
    <w:p w14:paraId="2E07CD98" w14:textId="0104FA55" w:rsidR="00C20FED" w:rsidRPr="00955503" w:rsidRDefault="00A636AA" w:rsidP="00955503">
      <w:pPr>
        <w:jc w:val="both"/>
        <w:rPr>
          <w:sz w:val="28"/>
          <w:szCs w:val="28"/>
        </w:rPr>
      </w:pPr>
      <w:r w:rsidRPr="00955503">
        <w:rPr>
          <w:sz w:val="28"/>
          <w:szCs w:val="28"/>
        </w:rPr>
        <w:t xml:space="preserve">440 A.2d 810; </w:t>
      </w:r>
      <w:r w:rsidRPr="00955503">
        <w:rPr>
          <w:i/>
          <w:iCs/>
          <w:sz w:val="28"/>
          <w:szCs w:val="28"/>
        </w:rPr>
        <w:t>s</w:t>
      </w:r>
      <w:r w:rsidR="00C20FED" w:rsidRPr="00955503">
        <w:rPr>
          <w:i/>
          <w:sz w:val="28"/>
          <w:szCs w:val="28"/>
        </w:rPr>
        <w:t>ee also</w:t>
      </w:r>
      <w:r w:rsidR="00C20FED" w:rsidRPr="00955503">
        <w:rPr>
          <w:sz w:val="28"/>
          <w:szCs w:val="28"/>
        </w:rPr>
        <w:t xml:space="preserve"> </w:t>
      </w:r>
      <w:r w:rsidR="00C20FED" w:rsidRPr="00955503">
        <w:rPr>
          <w:i/>
          <w:sz w:val="28"/>
          <w:szCs w:val="28"/>
        </w:rPr>
        <w:t xml:space="preserve">In re West Virginia </w:t>
      </w:r>
      <w:proofErr w:type="spellStart"/>
      <w:r w:rsidR="00C20FED" w:rsidRPr="00955503">
        <w:rPr>
          <w:i/>
          <w:sz w:val="28"/>
          <w:szCs w:val="28"/>
        </w:rPr>
        <w:t>Rezulin</w:t>
      </w:r>
      <w:proofErr w:type="spellEnd"/>
      <w:r w:rsidR="00C20FED" w:rsidRPr="00955503">
        <w:rPr>
          <w:i/>
          <w:sz w:val="28"/>
          <w:szCs w:val="28"/>
        </w:rPr>
        <w:t xml:space="preserve"> Litigation</w:t>
      </w:r>
      <w:r w:rsidR="00C20FED" w:rsidRPr="00955503">
        <w:rPr>
          <w:sz w:val="28"/>
          <w:szCs w:val="28"/>
        </w:rPr>
        <w:t>, 585 S.E.2d 52, 74-75 (W.</w:t>
      </w:r>
      <w:r w:rsidR="005A71DA" w:rsidRPr="00955503">
        <w:rPr>
          <w:sz w:val="28"/>
          <w:szCs w:val="28"/>
        </w:rPr>
        <w:t xml:space="preserve"> </w:t>
      </w:r>
      <w:r w:rsidR="00C20FED" w:rsidRPr="00955503">
        <w:rPr>
          <w:sz w:val="28"/>
          <w:szCs w:val="28"/>
        </w:rPr>
        <w:t xml:space="preserve">Va. 2003) (following </w:t>
      </w:r>
      <w:r w:rsidR="00C20FED" w:rsidRPr="00955503">
        <w:rPr>
          <w:i/>
          <w:sz w:val="28"/>
          <w:szCs w:val="28"/>
        </w:rPr>
        <w:t>Hinchliffe</w:t>
      </w:r>
      <w:r w:rsidR="00C20FED" w:rsidRPr="00955503">
        <w:rPr>
          <w:sz w:val="28"/>
          <w:szCs w:val="28"/>
        </w:rPr>
        <w:t xml:space="preserve">); </w:t>
      </w:r>
      <w:r w:rsidR="00C20FED" w:rsidRPr="00955503">
        <w:rPr>
          <w:i/>
          <w:sz w:val="28"/>
          <w:szCs w:val="28"/>
        </w:rPr>
        <w:t>In re Bridgestone/Firestone, Inc. Tires Products Litigation</w:t>
      </w:r>
      <w:r w:rsidR="00C20FED" w:rsidRPr="00955503">
        <w:rPr>
          <w:sz w:val="28"/>
          <w:szCs w:val="28"/>
        </w:rPr>
        <w:t>, 155 F.Supp.2d 1069, 1097-98 (S.D.</w:t>
      </w:r>
      <w:r w:rsidR="005A71DA" w:rsidRPr="00955503">
        <w:rPr>
          <w:sz w:val="28"/>
          <w:szCs w:val="28"/>
        </w:rPr>
        <w:t xml:space="preserve"> </w:t>
      </w:r>
      <w:r w:rsidR="00C20FED" w:rsidRPr="00955503">
        <w:rPr>
          <w:sz w:val="28"/>
          <w:szCs w:val="28"/>
        </w:rPr>
        <w:t xml:space="preserve">Ind. 2001) (applying </w:t>
      </w:r>
      <w:r w:rsidR="00C20FED" w:rsidRPr="00955503">
        <w:rPr>
          <w:i/>
          <w:sz w:val="28"/>
          <w:szCs w:val="28"/>
        </w:rPr>
        <w:t>Hinchliffe</w:t>
      </w:r>
      <w:r w:rsidR="00C20FED" w:rsidRPr="00955503">
        <w:rPr>
          <w:sz w:val="28"/>
          <w:szCs w:val="28"/>
        </w:rPr>
        <w:t xml:space="preserve"> to both Tennessee and Michigan Acts), </w:t>
      </w:r>
      <w:r w:rsidR="00C20FED" w:rsidRPr="00955503">
        <w:rPr>
          <w:i/>
          <w:sz w:val="28"/>
          <w:szCs w:val="28"/>
        </w:rPr>
        <w:t>reversed in part on procedural grounds</w:t>
      </w:r>
      <w:r w:rsidR="00C20FED" w:rsidRPr="00955503">
        <w:rPr>
          <w:sz w:val="28"/>
          <w:szCs w:val="28"/>
        </w:rPr>
        <w:t xml:space="preserve">, 288 F.3d 1012 </w:t>
      </w:r>
      <w:r w:rsidR="00DE1BCC" w:rsidRPr="00955503">
        <w:rPr>
          <w:sz w:val="28"/>
          <w:szCs w:val="28"/>
        </w:rPr>
        <w:t>(7th</w:t>
      </w:r>
      <w:r w:rsidR="00C20FED" w:rsidRPr="00955503">
        <w:rPr>
          <w:sz w:val="28"/>
          <w:szCs w:val="28"/>
        </w:rPr>
        <w:t xml:space="preserve"> Cir. 2002),; </w:t>
      </w:r>
      <w:r w:rsidR="00C20FED" w:rsidRPr="00955503">
        <w:rPr>
          <w:i/>
          <w:sz w:val="28"/>
          <w:szCs w:val="28"/>
        </w:rPr>
        <w:t>Miller v. American Family Publishers</w:t>
      </w:r>
      <w:r w:rsidR="00C20FED" w:rsidRPr="00955503">
        <w:rPr>
          <w:sz w:val="28"/>
          <w:szCs w:val="28"/>
        </w:rPr>
        <w:t>, 663 A.2d 643, 654-55 (N.J.</w:t>
      </w:r>
      <w:r w:rsidR="005A71DA" w:rsidRPr="00955503">
        <w:rPr>
          <w:sz w:val="28"/>
          <w:szCs w:val="28"/>
        </w:rPr>
        <w:t xml:space="preserve"> </w:t>
      </w:r>
      <w:r w:rsidR="00C20FED" w:rsidRPr="00955503">
        <w:rPr>
          <w:sz w:val="28"/>
          <w:szCs w:val="28"/>
        </w:rPr>
        <w:t>Super. 1995) (</w:t>
      </w:r>
      <w:r w:rsidR="00C20FED" w:rsidRPr="00955503">
        <w:rPr>
          <w:i/>
          <w:sz w:val="28"/>
          <w:szCs w:val="28"/>
        </w:rPr>
        <w:t>Hinchliffe</w:t>
      </w:r>
      <w:r w:rsidR="00C20FED" w:rsidRPr="00955503">
        <w:rPr>
          <w:sz w:val="28"/>
          <w:szCs w:val="28"/>
        </w:rPr>
        <w:t xml:space="preserve"> and similar decisions “are consistent with a reasonable, rational reading of [the New Jersey Act], and they are also consistent with the admonition from our Supreme Court that the Consumer Fraud Act is remedial legislation and should be read liberally in favor of consumers”); </w:t>
      </w:r>
      <w:r w:rsidR="00C20FED" w:rsidRPr="00955503">
        <w:rPr>
          <w:i/>
          <w:sz w:val="28"/>
          <w:szCs w:val="28"/>
        </w:rPr>
        <w:t xml:space="preserve">Rein v. </w:t>
      </w:r>
      <w:proofErr w:type="spellStart"/>
      <w:r w:rsidR="00C20FED" w:rsidRPr="00955503">
        <w:rPr>
          <w:i/>
          <w:sz w:val="28"/>
          <w:szCs w:val="28"/>
        </w:rPr>
        <w:t>Koons</w:t>
      </w:r>
      <w:proofErr w:type="spellEnd"/>
      <w:r w:rsidR="00C20FED" w:rsidRPr="00955503">
        <w:rPr>
          <w:i/>
          <w:sz w:val="28"/>
          <w:szCs w:val="28"/>
        </w:rPr>
        <w:t xml:space="preserve"> Ford, Inc.</w:t>
      </w:r>
      <w:r w:rsidR="00C20FED" w:rsidRPr="00955503">
        <w:rPr>
          <w:sz w:val="28"/>
          <w:szCs w:val="28"/>
        </w:rPr>
        <w:t xml:space="preserve">, 567 A.2d 101, 107-08 (Md. 1989) (following </w:t>
      </w:r>
      <w:r w:rsidR="00C20FED" w:rsidRPr="00955503">
        <w:rPr>
          <w:i/>
          <w:sz w:val="28"/>
          <w:szCs w:val="28"/>
        </w:rPr>
        <w:t>Hinchliffe</w:t>
      </w:r>
      <w:r w:rsidR="00C20FED" w:rsidRPr="00955503">
        <w:rPr>
          <w:sz w:val="28"/>
          <w:szCs w:val="28"/>
        </w:rPr>
        <w:t xml:space="preserve">); </w:t>
      </w:r>
      <w:proofErr w:type="spellStart"/>
      <w:r w:rsidR="00C20FED" w:rsidRPr="00955503">
        <w:rPr>
          <w:i/>
          <w:sz w:val="28"/>
          <w:szCs w:val="28"/>
        </w:rPr>
        <w:t>Weigel</w:t>
      </w:r>
      <w:proofErr w:type="spellEnd"/>
      <w:r w:rsidR="00C20FED" w:rsidRPr="00955503">
        <w:rPr>
          <w:i/>
          <w:sz w:val="28"/>
          <w:szCs w:val="28"/>
        </w:rPr>
        <w:t xml:space="preserve"> v. Ron Tonkin Chevrolet Co.</w:t>
      </w:r>
      <w:r w:rsidR="00C20FED" w:rsidRPr="00955503">
        <w:rPr>
          <w:sz w:val="28"/>
          <w:szCs w:val="28"/>
        </w:rPr>
        <w:t xml:space="preserve">, 690 P.2d 488, 494-95 (Oregon 1984) (following </w:t>
      </w:r>
      <w:r w:rsidR="00C20FED" w:rsidRPr="00955503">
        <w:rPr>
          <w:i/>
          <w:sz w:val="28"/>
          <w:szCs w:val="28"/>
        </w:rPr>
        <w:t>Hinchliffe</w:t>
      </w:r>
      <w:r w:rsidR="00C20FED" w:rsidRPr="00955503">
        <w:rPr>
          <w:sz w:val="28"/>
          <w:szCs w:val="28"/>
        </w:rPr>
        <w:t>).</w:t>
      </w:r>
    </w:p>
    <w:p w14:paraId="7C66FCAF" w14:textId="77777777" w:rsidR="00C20FED" w:rsidRPr="00955503" w:rsidRDefault="00C20FED" w:rsidP="00A53A6C">
      <w:pPr>
        <w:jc w:val="both"/>
        <w:rPr>
          <w:sz w:val="28"/>
          <w:szCs w:val="28"/>
          <w:u w:val="single"/>
        </w:rPr>
      </w:pPr>
    </w:p>
    <w:sectPr w:rsidR="00C20FED" w:rsidRPr="00955503" w:rsidSect="00E4126E">
      <w:footerReference w:type="default" r:id="rId9"/>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A4FBB" w14:textId="77777777" w:rsidR="00551354" w:rsidRDefault="00551354">
      <w:r>
        <w:separator/>
      </w:r>
    </w:p>
  </w:endnote>
  <w:endnote w:type="continuationSeparator" w:id="0">
    <w:p w14:paraId="0B35808D" w14:textId="77777777" w:rsidR="00551354" w:rsidRDefault="0055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457603353"/>
      <w:docPartObj>
        <w:docPartGallery w:val="Page Numbers (Bottom of Page)"/>
        <w:docPartUnique/>
      </w:docPartObj>
    </w:sdtPr>
    <w:sdtEndPr/>
    <w:sdtContent>
      <w:sdt>
        <w:sdtPr>
          <w:rPr>
            <w:sz w:val="22"/>
            <w:szCs w:val="22"/>
          </w:rPr>
          <w:id w:val="98381352"/>
          <w:docPartObj>
            <w:docPartGallery w:val="Page Numbers (Top of Page)"/>
            <w:docPartUnique/>
          </w:docPartObj>
        </w:sdtPr>
        <w:sdtEndPr/>
        <w:sdtContent>
          <w:p w14:paraId="7EE6CB27" w14:textId="3434E847" w:rsidR="00955503" w:rsidRPr="00955503" w:rsidRDefault="00955503" w:rsidP="00955503">
            <w:pPr>
              <w:pStyle w:val="Footer"/>
              <w:tabs>
                <w:tab w:val="clear" w:pos="8640"/>
              </w:tabs>
              <w:rPr>
                <w:sz w:val="22"/>
                <w:szCs w:val="22"/>
              </w:rPr>
            </w:pPr>
            <w:r w:rsidRPr="00955503">
              <w:rPr>
                <w:sz w:val="22"/>
                <w:szCs w:val="22"/>
              </w:rPr>
              <w:t>Revised 2020</w:t>
            </w:r>
            <w:r w:rsidRPr="00955503">
              <w:rPr>
                <w:sz w:val="22"/>
                <w:szCs w:val="22"/>
              </w:rPr>
              <w:tab/>
            </w:r>
            <w:r w:rsidRPr="00955503">
              <w:rPr>
                <w:sz w:val="22"/>
                <w:szCs w:val="22"/>
              </w:rPr>
              <w:tab/>
            </w:r>
            <w:r>
              <w:rPr>
                <w:sz w:val="22"/>
                <w:szCs w:val="22"/>
              </w:rPr>
              <w:t xml:space="preserve">             </w:t>
            </w:r>
            <w:r>
              <w:rPr>
                <w:sz w:val="22"/>
                <w:szCs w:val="22"/>
              </w:rPr>
              <w:tab/>
            </w:r>
            <w:r>
              <w:rPr>
                <w:sz w:val="22"/>
                <w:szCs w:val="22"/>
              </w:rPr>
              <w:tab/>
            </w:r>
            <w:r>
              <w:rPr>
                <w:sz w:val="22"/>
                <w:szCs w:val="22"/>
              </w:rPr>
              <w:tab/>
              <w:t xml:space="preserve">        </w:t>
            </w:r>
            <w:r w:rsidRPr="00955503">
              <w:rPr>
                <w:sz w:val="22"/>
                <w:szCs w:val="22"/>
              </w:rPr>
              <w:t xml:space="preserve">10.04 - Page </w:t>
            </w:r>
            <w:r w:rsidRPr="00955503">
              <w:rPr>
                <w:bCs/>
                <w:sz w:val="22"/>
                <w:szCs w:val="22"/>
              </w:rPr>
              <w:fldChar w:fldCharType="begin"/>
            </w:r>
            <w:r w:rsidRPr="00955503">
              <w:rPr>
                <w:bCs/>
                <w:sz w:val="22"/>
                <w:szCs w:val="22"/>
              </w:rPr>
              <w:instrText xml:space="preserve"> PAGE </w:instrText>
            </w:r>
            <w:r w:rsidRPr="00955503">
              <w:rPr>
                <w:bCs/>
                <w:sz w:val="22"/>
                <w:szCs w:val="22"/>
              </w:rPr>
              <w:fldChar w:fldCharType="separate"/>
            </w:r>
            <w:r w:rsidR="00977E25">
              <w:rPr>
                <w:bCs/>
                <w:noProof/>
                <w:sz w:val="22"/>
                <w:szCs w:val="22"/>
              </w:rPr>
              <w:t>1</w:t>
            </w:r>
            <w:r w:rsidRPr="00955503">
              <w:rPr>
                <w:bCs/>
                <w:sz w:val="22"/>
                <w:szCs w:val="22"/>
              </w:rPr>
              <w:fldChar w:fldCharType="end"/>
            </w:r>
            <w:r w:rsidRPr="00955503">
              <w:rPr>
                <w:sz w:val="22"/>
                <w:szCs w:val="22"/>
              </w:rPr>
              <w:t xml:space="preserve"> of </w:t>
            </w:r>
            <w:r w:rsidRPr="00955503">
              <w:rPr>
                <w:bCs/>
                <w:sz w:val="22"/>
                <w:szCs w:val="22"/>
              </w:rPr>
              <w:fldChar w:fldCharType="begin"/>
            </w:r>
            <w:r w:rsidRPr="00955503">
              <w:rPr>
                <w:bCs/>
                <w:sz w:val="22"/>
                <w:szCs w:val="22"/>
              </w:rPr>
              <w:instrText xml:space="preserve"> NUMPAGES  </w:instrText>
            </w:r>
            <w:r w:rsidRPr="00955503">
              <w:rPr>
                <w:bCs/>
                <w:sz w:val="22"/>
                <w:szCs w:val="22"/>
              </w:rPr>
              <w:fldChar w:fldCharType="separate"/>
            </w:r>
            <w:r w:rsidR="00977E25">
              <w:rPr>
                <w:bCs/>
                <w:noProof/>
                <w:sz w:val="22"/>
                <w:szCs w:val="22"/>
              </w:rPr>
              <w:t>2</w:t>
            </w:r>
            <w:r w:rsidRPr="00955503">
              <w:rPr>
                <w:bCs/>
                <w:sz w:val="22"/>
                <w:szCs w:val="22"/>
              </w:rPr>
              <w:fldChar w:fldCharType="end"/>
            </w:r>
          </w:p>
        </w:sdtContent>
      </w:sdt>
    </w:sdtContent>
  </w:sdt>
  <w:p w14:paraId="32516F76" w14:textId="371F6981" w:rsidR="00BE6E5B" w:rsidRPr="00955503" w:rsidRDefault="00BE6E5B" w:rsidP="00955503">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5FD96" w14:textId="77777777" w:rsidR="00551354" w:rsidRDefault="00551354">
      <w:r>
        <w:separator/>
      </w:r>
    </w:p>
  </w:footnote>
  <w:footnote w:type="continuationSeparator" w:id="0">
    <w:p w14:paraId="21F19020" w14:textId="77777777" w:rsidR="00551354" w:rsidRDefault="005513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5"/>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8"/>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9"/>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A"/>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2"/>
    <w:lvlOverride w:ilvl="0">
      <w:startOverride w:val="6"/>
      <w:lvl w:ilvl="0">
        <w:start w:val="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4"/>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lottee, Christopher J (ANC - X56357)">
    <w15:presenceInfo w15:providerId="AD" w15:userId="S-1-5-21-1836541547-1711626928-1237804090-205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2B"/>
    <w:rsid w:val="0005512B"/>
    <w:rsid w:val="000E2EBB"/>
    <w:rsid w:val="000E389A"/>
    <w:rsid w:val="000F79F5"/>
    <w:rsid w:val="00101AF5"/>
    <w:rsid w:val="00133217"/>
    <w:rsid w:val="00160BBC"/>
    <w:rsid w:val="00170157"/>
    <w:rsid w:val="001B572F"/>
    <w:rsid w:val="00227886"/>
    <w:rsid w:val="002326E8"/>
    <w:rsid w:val="002F3337"/>
    <w:rsid w:val="00364D61"/>
    <w:rsid w:val="00372769"/>
    <w:rsid w:val="003A214C"/>
    <w:rsid w:val="003A2717"/>
    <w:rsid w:val="004312AF"/>
    <w:rsid w:val="00455436"/>
    <w:rsid w:val="00456231"/>
    <w:rsid w:val="0046752B"/>
    <w:rsid w:val="00547842"/>
    <w:rsid w:val="00551354"/>
    <w:rsid w:val="00554CEE"/>
    <w:rsid w:val="00580526"/>
    <w:rsid w:val="0058752A"/>
    <w:rsid w:val="005A71DA"/>
    <w:rsid w:val="005C2DF4"/>
    <w:rsid w:val="006050D9"/>
    <w:rsid w:val="00607FC0"/>
    <w:rsid w:val="006552AC"/>
    <w:rsid w:val="006674A2"/>
    <w:rsid w:val="00670236"/>
    <w:rsid w:val="006A60C5"/>
    <w:rsid w:val="006B4278"/>
    <w:rsid w:val="006C71CB"/>
    <w:rsid w:val="006E08CD"/>
    <w:rsid w:val="00714F7D"/>
    <w:rsid w:val="0072029E"/>
    <w:rsid w:val="007310CB"/>
    <w:rsid w:val="00737711"/>
    <w:rsid w:val="00751FE1"/>
    <w:rsid w:val="007C1642"/>
    <w:rsid w:val="007C532B"/>
    <w:rsid w:val="007F186B"/>
    <w:rsid w:val="00803355"/>
    <w:rsid w:val="00812789"/>
    <w:rsid w:val="00846EAF"/>
    <w:rsid w:val="00852A1E"/>
    <w:rsid w:val="008A767F"/>
    <w:rsid w:val="00900620"/>
    <w:rsid w:val="009049A1"/>
    <w:rsid w:val="00911647"/>
    <w:rsid w:val="00943613"/>
    <w:rsid w:val="00955503"/>
    <w:rsid w:val="00971857"/>
    <w:rsid w:val="00977E25"/>
    <w:rsid w:val="009A6FD4"/>
    <w:rsid w:val="009C5A2F"/>
    <w:rsid w:val="009E2E89"/>
    <w:rsid w:val="00A53A6C"/>
    <w:rsid w:val="00A636AA"/>
    <w:rsid w:val="00AD6616"/>
    <w:rsid w:val="00AD69AD"/>
    <w:rsid w:val="00AF2435"/>
    <w:rsid w:val="00B42C89"/>
    <w:rsid w:val="00B92BAF"/>
    <w:rsid w:val="00B96365"/>
    <w:rsid w:val="00BA051E"/>
    <w:rsid w:val="00BC2F7A"/>
    <w:rsid w:val="00BE5F1E"/>
    <w:rsid w:val="00BE6E5B"/>
    <w:rsid w:val="00C20594"/>
    <w:rsid w:val="00C20FED"/>
    <w:rsid w:val="00C5170D"/>
    <w:rsid w:val="00C5483E"/>
    <w:rsid w:val="00C71D7F"/>
    <w:rsid w:val="00CA4678"/>
    <w:rsid w:val="00CC3C0D"/>
    <w:rsid w:val="00D244FB"/>
    <w:rsid w:val="00DB5A76"/>
    <w:rsid w:val="00DE1BCC"/>
    <w:rsid w:val="00E0113C"/>
    <w:rsid w:val="00E07E76"/>
    <w:rsid w:val="00E2690A"/>
    <w:rsid w:val="00E3521D"/>
    <w:rsid w:val="00E4126E"/>
    <w:rsid w:val="00E94B7C"/>
    <w:rsid w:val="00E97698"/>
    <w:rsid w:val="00EF0B5E"/>
    <w:rsid w:val="00F551FE"/>
    <w:rsid w:val="00F70C11"/>
    <w:rsid w:val="00FE72D8"/>
    <w:rsid w:val="00FF365A"/>
    <w:rsid w:val="00FF530D"/>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67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667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A2"/>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5A71DA"/>
    <w:rPr>
      <w:sz w:val="16"/>
      <w:szCs w:val="16"/>
    </w:rPr>
  </w:style>
  <w:style w:type="paragraph" w:styleId="CommentText">
    <w:name w:val="annotation text"/>
    <w:basedOn w:val="Normal"/>
    <w:link w:val="CommentTextChar"/>
    <w:uiPriority w:val="99"/>
    <w:semiHidden/>
    <w:unhideWhenUsed/>
    <w:rsid w:val="005A71DA"/>
    <w:rPr>
      <w:sz w:val="20"/>
    </w:rPr>
  </w:style>
  <w:style w:type="character" w:customStyle="1" w:styleId="CommentTextChar">
    <w:name w:val="Comment Text Char"/>
    <w:basedOn w:val="DefaultParagraphFont"/>
    <w:link w:val="CommentText"/>
    <w:uiPriority w:val="99"/>
    <w:semiHidden/>
    <w:rsid w:val="005A71DA"/>
    <w:rPr>
      <w:snapToGrid w:val="0"/>
    </w:rPr>
  </w:style>
  <w:style w:type="paragraph" w:styleId="CommentSubject">
    <w:name w:val="annotation subject"/>
    <w:basedOn w:val="CommentText"/>
    <w:next w:val="CommentText"/>
    <w:link w:val="CommentSubjectChar"/>
    <w:uiPriority w:val="99"/>
    <w:semiHidden/>
    <w:unhideWhenUsed/>
    <w:rsid w:val="005A71DA"/>
    <w:rPr>
      <w:b/>
      <w:bCs/>
    </w:rPr>
  </w:style>
  <w:style w:type="character" w:customStyle="1" w:styleId="CommentSubjectChar">
    <w:name w:val="Comment Subject Char"/>
    <w:basedOn w:val="CommentTextChar"/>
    <w:link w:val="CommentSubject"/>
    <w:uiPriority w:val="99"/>
    <w:semiHidden/>
    <w:rsid w:val="005A71DA"/>
    <w:rPr>
      <w:b/>
      <w:bCs/>
      <w:snapToGrid w:val="0"/>
    </w:rPr>
  </w:style>
  <w:style w:type="character" w:customStyle="1" w:styleId="FooterChar">
    <w:name w:val="Footer Char"/>
    <w:basedOn w:val="DefaultParagraphFont"/>
    <w:link w:val="Footer"/>
    <w:uiPriority w:val="99"/>
    <w:rsid w:val="00955503"/>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667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4A2"/>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5A71DA"/>
    <w:rPr>
      <w:sz w:val="16"/>
      <w:szCs w:val="16"/>
    </w:rPr>
  </w:style>
  <w:style w:type="paragraph" w:styleId="CommentText">
    <w:name w:val="annotation text"/>
    <w:basedOn w:val="Normal"/>
    <w:link w:val="CommentTextChar"/>
    <w:uiPriority w:val="99"/>
    <w:semiHidden/>
    <w:unhideWhenUsed/>
    <w:rsid w:val="005A71DA"/>
    <w:rPr>
      <w:sz w:val="20"/>
    </w:rPr>
  </w:style>
  <w:style w:type="character" w:customStyle="1" w:styleId="CommentTextChar">
    <w:name w:val="Comment Text Char"/>
    <w:basedOn w:val="DefaultParagraphFont"/>
    <w:link w:val="CommentText"/>
    <w:uiPriority w:val="99"/>
    <w:semiHidden/>
    <w:rsid w:val="005A71DA"/>
    <w:rPr>
      <w:snapToGrid w:val="0"/>
    </w:rPr>
  </w:style>
  <w:style w:type="paragraph" w:styleId="CommentSubject">
    <w:name w:val="annotation subject"/>
    <w:basedOn w:val="CommentText"/>
    <w:next w:val="CommentText"/>
    <w:link w:val="CommentSubjectChar"/>
    <w:uiPriority w:val="99"/>
    <w:semiHidden/>
    <w:unhideWhenUsed/>
    <w:rsid w:val="005A71DA"/>
    <w:rPr>
      <w:b/>
      <w:bCs/>
    </w:rPr>
  </w:style>
  <w:style w:type="character" w:customStyle="1" w:styleId="CommentSubjectChar">
    <w:name w:val="Comment Subject Char"/>
    <w:basedOn w:val="CommentTextChar"/>
    <w:link w:val="CommentSubject"/>
    <w:uiPriority w:val="99"/>
    <w:semiHidden/>
    <w:rsid w:val="005A71DA"/>
    <w:rPr>
      <w:b/>
      <w:bCs/>
      <w:snapToGrid w:val="0"/>
    </w:rPr>
  </w:style>
  <w:style w:type="character" w:customStyle="1" w:styleId="FooterChar">
    <w:name w:val="Footer Char"/>
    <w:basedOn w:val="DefaultParagraphFont"/>
    <w:link w:val="Footer"/>
    <w:uiPriority w:val="99"/>
    <w:rsid w:val="0095550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39117">
      <w:bodyDiv w:val="1"/>
      <w:marLeft w:val="0"/>
      <w:marRight w:val="0"/>
      <w:marTop w:val="0"/>
      <w:marBottom w:val="0"/>
      <w:divBdr>
        <w:top w:val="none" w:sz="0" w:space="0" w:color="auto"/>
        <w:left w:val="none" w:sz="0" w:space="0" w:color="auto"/>
        <w:bottom w:val="none" w:sz="0" w:space="0" w:color="auto"/>
        <w:right w:val="none" w:sz="0" w:space="0" w:color="auto"/>
      </w:divBdr>
      <w:divsChild>
        <w:div w:id="1616474481">
          <w:marLeft w:val="0"/>
          <w:marRight w:val="0"/>
          <w:marTop w:val="0"/>
          <w:marBottom w:val="0"/>
          <w:divBdr>
            <w:top w:val="none" w:sz="0" w:space="0" w:color="auto"/>
            <w:left w:val="none" w:sz="0" w:space="0" w:color="auto"/>
            <w:bottom w:val="none" w:sz="0" w:space="0" w:color="auto"/>
            <w:right w:val="none" w:sz="0" w:space="0" w:color="auto"/>
          </w:divBdr>
          <w:divsChild>
            <w:div w:id="1746148066">
              <w:marLeft w:val="0"/>
              <w:marRight w:val="0"/>
              <w:marTop w:val="0"/>
              <w:marBottom w:val="0"/>
              <w:divBdr>
                <w:top w:val="none" w:sz="0" w:space="0" w:color="auto"/>
                <w:left w:val="none" w:sz="0" w:space="0" w:color="auto"/>
                <w:bottom w:val="none" w:sz="0" w:space="0" w:color="auto"/>
                <w:right w:val="none" w:sz="0" w:space="0" w:color="auto"/>
              </w:divBdr>
              <w:divsChild>
                <w:div w:id="17188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55650">
      <w:bodyDiv w:val="1"/>
      <w:marLeft w:val="0"/>
      <w:marRight w:val="0"/>
      <w:marTop w:val="0"/>
      <w:marBottom w:val="0"/>
      <w:divBdr>
        <w:top w:val="none" w:sz="0" w:space="0" w:color="auto"/>
        <w:left w:val="none" w:sz="0" w:space="0" w:color="auto"/>
        <w:bottom w:val="none" w:sz="0" w:space="0" w:color="auto"/>
        <w:right w:val="none" w:sz="0" w:space="0" w:color="auto"/>
      </w:divBdr>
      <w:divsChild>
        <w:div w:id="923992620">
          <w:marLeft w:val="0"/>
          <w:marRight w:val="0"/>
          <w:marTop w:val="0"/>
          <w:marBottom w:val="0"/>
          <w:divBdr>
            <w:top w:val="none" w:sz="0" w:space="0" w:color="auto"/>
            <w:left w:val="none" w:sz="0" w:space="0" w:color="auto"/>
            <w:bottom w:val="none" w:sz="0" w:space="0" w:color="auto"/>
            <w:right w:val="none" w:sz="0" w:space="0" w:color="auto"/>
          </w:divBdr>
          <w:divsChild>
            <w:div w:id="287199729">
              <w:marLeft w:val="0"/>
              <w:marRight w:val="0"/>
              <w:marTop w:val="0"/>
              <w:marBottom w:val="0"/>
              <w:divBdr>
                <w:top w:val="none" w:sz="0" w:space="0" w:color="auto"/>
                <w:left w:val="none" w:sz="0" w:space="0" w:color="auto"/>
                <w:bottom w:val="none" w:sz="0" w:space="0" w:color="auto"/>
                <w:right w:val="none" w:sz="0" w:space="0" w:color="auto"/>
              </w:divBdr>
              <w:divsChild>
                <w:div w:id="16230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08479">
      <w:bodyDiv w:val="1"/>
      <w:marLeft w:val="0"/>
      <w:marRight w:val="0"/>
      <w:marTop w:val="0"/>
      <w:marBottom w:val="0"/>
      <w:divBdr>
        <w:top w:val="none" w:sz="0" w:space="0" w:color="auto"/>
        <w:left w:val="none" w:sz="0" w:space="0" w:color="auto"/>
        <w:bottom w:val="none" w:sz="0" w:space="0" w:color="auto"/>
        <w:right w:val="none" w:sz="0" w:space="0" w:color="auto"/>
      </w:divBdr>
      <w:divsChild>
        <w:div w:id="1566842627">
          <w:marLeft w:val="0"/>
          <w:marRight w:val="0"/>
          <w:marTop w:val="0"/>
          <w:marBottom w:val="0"/>
          <w:divBdr>
            <w:top w:val="none" w:sz="0" w:space="0" w:color="auto"/>
            <w:left w:val="none" w:sz="0" w:space="0" w:color="auto"/>
            <w:bottom w:val="none" w:sz="0" w:space="0" w:color="auto"/>
            <w:right w:val="none" w:sz="0" w:space="0" w:color="auto"/>
          </w:divBdr>
          <w:divsChild>
            <w:div w:id="773281203">
              <w:marLeft w:val="0"/>
              <w:marRight w:val="0"/>
              <w:marTop w:val="0"/>
              <w:marBottom w:val="0"/>
              <w:divBdr>
                <w:top w:val="none" w:sz="0" w:space="0" w:color="auto"/>
                <w:left w:val="none" w:sz="0" w:space="0" w:color="auto"/>
                <w:bottom w:val="none" w:sz="0" w:space="0" w:color="auto"/>
                <w:right w:val="none" w:sz="0" w:space="0" w:color="auto"/>
              </w:divBdr>
              <w:divsChild>
                <w:div w:id="16453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71CB4-BF7B-4451-B40C-E98BDDB4C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4033</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4777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Kodidine</dc:creator>
  <cp:lastModifiedBy>Sanjay Kodidine</cp:lastModifiedBy>
  <cp:revision>2</cp:revision>
  <cp:lastPrinted>2020-05-21T21:28:00Z</cp:lastPrinted>
  <dcterms:created xsi:type="dcterms:W3CDTF">2020-05-27T21:24:00Z</dcterms:created>
  <dcterms:modified xsi:type="dcterms:W3CDTF">2020-05-27T21:24:00Z</dcterms:modified>
</cp:coreProperties>
</file>