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36D02" w14:textId="48E5E1F4" w:rsidR="00C20FED" w:rsidRDefault="00143C0E" w:rsidP="00661D21">
      <w:pPr>
        <w:ind w:left="1440" w:hanging="1440"/>
        <w:jc w:val="both"/>
        <w:rPr>
          <w:b/>
          <w:sz w:val="28"/>
          <w:szCs w:val="28"/>
        </w:rPr>
      </w:pPr>
      <w:bookmarkStart w:id="0" w:name="_GoBack"/>
      <w:bookmarkEnd w:id="0"/>
      <w:r w:rsidRPr="00661D21">
        <w:rPr>
          <w:b/>
          <w:sz w:val="28"/>
          <w:szCs w:val="28"/>
        </w:rPr>
        <w:t xml:space="preserve">10.05 </w:t>
      </w:r>
      <w:r w:rsidR="00BB4C67" w:rsidRPr="00661D21">
        <w:rPr>
          <w:b/>
          <w:sz w:val="28"/>
          <w:szCs w:val="28"/>
        </w:rPr>
        <w:tab/>
      </w:r>
      <w:r w:rsidR="00C20FED" w:rsidRPr="00661D21">
        <w:rPr>
          <w:b/>
          <w:sz w:val="28"/>
          <w:szCs w:val="28"/>
        </w:rPr>
        <w:t>L</w:t>
      </w:r>
      <w:r w:rsidRPr="00661D21">
        <w:rPr>
          <w:b/>
          <w:sz w:val="28"/>
          <w:szCs w:val="28"/>
        </w:rPr>
        <w:t>IABILITY OF AGENTS AND EMPLOYEES IN CONSUMER PROTECTION CASES</w:t>
      </w:r>
    </w:p>
    <w:p w14:paraId="51F2C335" w14:textId="77777777" w:rsidR="00661D21" w:rsidRDefault="00661D21" w:rsidP="00661D21">
      <w:pPr>
        <w:ind w:left="1440" w:hanging="1440"/>
        <w:jc w:val="both"/>
        <w:rPr>
          <w:b/>
          <w:sz w:val="28"/>
          <w:szCs w:val="28"/>
        </w:rPr>
      </w:pPr>
    </w:p>
    <w:p w14:paraId="18494DC3" w14:textId="77777777" w:rsidR="00661D21" w:rsidRDefault="00661D21" w:rsidP="00661D21">
      <w:pPr>
        <w:jc w:val="both"/>
        <w:rPr>
          <w:sz w:val="28"/>
          <w:szCs w:val="28"/>
        </w:rPr>
      </w:pPr>
    </w:p>
    <w:p w14:paraId="4CA1797D" w14:textId="098DC2BC" w:rsidR="00C20FED" w:rsidRPr="00661D21" w:rsidRDefault="00607FC0" w:rsidP="00245057">
      <w:pPr>
        <w:spacing w:line="360" w:lineRule="auto"/>
        <w:jc w:val="both"/>
        <w:rPr>
          <w:sz w:val="28"/>
          <w:szCs w:val="28"/>
        </w:rPr>
      </w:pPr>
      <w:r w:rsidRPr="00661D21">
        <w:rPr>
          <w:sz w:val="28"/>
          <w:szCs w:val="28"/>
        </w:rPr>
        <w:t>[Individual defendant]</w:t>
      </w:r>
      <w:r w:rsidR="006A60C5" w:rsidRPr="00661D21">
        <w:rPr>
          <w:sz w:val="28"/>
          <w:szCs w:val="28"/>
        </w:rPr>
        <w:t xml:space="preserve"> claims that [h</w:t>
      </w:r>
      <w:r w:rsidRPr="00661D21">
        <w:rPr>
          <w:sz w:val="28"/>
          <w:szCs w:val="28"/>
        </w:rPr>
        <w:t>e</w:t>
      </w:r>
      <w:proofErr w:type="gramStart"/>
      <w:r w:rsidR="006A60C5" w:rsidRPr="00661D21">
        <w:rPr>
          <w:sz w:val="28"/>
          <w:szCs w:val="28"/>
        </w:rPr>
        <w:t>][</w:t>
      </w:r>
      <w:proofErr w:type="gramEnd"/>
      <w:r w:rsidR="006A60C5" w:rsidRPr="00661D21">
        <w:rPr>
          <w:sz w:val="28"/>
          <w:szCs w:val="28"/>
        </w:rPr>
        <w:t xml:space="preserve">she] cannot be held liable for committing an unfair or deceptive act or practice because [he][she] was acting on behalf of [his][her] employer. </w:t>
      </w:r>
      <w:r w:rsidRPr="00661D21">
        <w:rPr>
          <w:sz w:val="28"/>
          <w:szCs w:val="28"/>
        </w:rPr>
        <w:t>[Individual defendant] is</w:t>
      </w:r>
      <w:r w:rsidR="006A60C5" w:rsidRPr="00661D21">
        <w:rPr>
          <w:sz w:val="28"/>
          <w:szCs w:val="28"/>
        </w:rPr>
        <w:t xml:space="preserve"> personally liable for </w:t>
      </w:r>
      <w:r w:rsidR="00C45A5A" w:rsidRPr="00661D21">
        <w:rPr>
          <w:sz w:val="28"/>
          <w:szCs w:val="28"/>
        </w:rPr>
        <w:t>[</w:t>
      </w:r>
      <w:r w:rsidR="006A60C5" w:rsidRPr="00661D21">
        <w:rPr>
          <w:sz w:val="28"/>
          <w:szCs w:val="28"/>
        </w:rPr>
        <w:t>plaintiff’s</w:t>
      </w:r>
      <w:r w:rsidR="00C45A5A" w:rsidRPr="00661D21">
        <w:rPr>
          <w:sz w:val="28"/>
          <w:szCs w:val="28"/>
        </w:rPr>
        <w:t>]</w:t>
      </w:r>
      <w:r w:rsidR="006A60C5" w:rsidRPr="00661D21">
        <w:rPr>
          <w:sz w:val="28"/>
          <w:szCs w:val="28"/>
        </w:rPr>
        <w:t xml:space="preserve"> damages i</w:t>
      </w:r>
      <w:r w:rsidR="00C20FED" w:rsidRPr="00661D21">
        <w:rPr>
          <w:sz w:val="28"/>
          <w:szCs w:val="28"/>
        </w:rPr>
        <w:t xml:space="preserve">f you find that it is more likely true than not true that  </w:t>
      </w:r>
      <w:r w:rsidRPr="00661D21">
        <w:rPr>
          <w:sz w:val="28"/>
          <w:szCs w:val="28"/>
        </w:rPr>
        <w:t xml:space="preserve">[he][she] </w:t>
      </w:r>
      <w:r w:rsidR="007801C6" w:rsidRPr="00661D21">
        <w:rPr>
          <w:sz w:val="28"/>
          <w:szCs w:val="28"/>
        </w:rPr>
        <w:t xml:space="preserve">participated in or had the authority to control the unfair or deceptive act or practice; and (2) had some knowledge that the act or practice was unfair or deceptive.  </w:t>
      </w:r>
    </w:p>
    <w:p w14:paraId="4F38EC95" w14:textId="77777777" w:rsidR="00661D21" w:rsidRDefault="00661D21" w:rsidP="00661D21">
      <w:pPr>
        <w:jc w:val="center"/>
        <w:rPr>
          <w:b/>
          <w:sz w:val="28"/>
          <w:szCs w:val="28"/>
          <w:u w:val="single"/>
        </w:rPr>
      </w:pPr>
    </w:p>
    <w:p w14:paraId="69BEA106" w14:textId="77777777" w:rsidR="00C20FED" w:rsidRDefault="00E4727D" w:rsidP="00661D21">
      <w:pPr>
        <w:jc w:val="center"/>
        <w:rPr>
          <w:b/>
          <w:sz w:val="28"/>
          <w:szCs w:val="28"/>
          <w:u w:val="single"/>
        </w:rPr>
      </w:pPr>
      <w:r w:rsidRPr="00661D21">
        <w:rPr>
          <w:b/>
          <w:sz w:val="28"/>
          <w:szCs w:val="28"/>
          <w:u w:val="single"/>
        </w:rPr>
        <w:t>Use Note</w:t>
      </w:r>
    </w:p>
    <w:p w14:paraId="55D8F98D" w14:textId="77777777" w:rsidR="00661D21" w:rsidRPr="00661D21" w:rsidRDefault="00661D21" w:rsidP="00661D21">
      <w:pPr>
        <w:jc w:val="center"/>
        <w:rPr>
          <w:b/>
          <w:sz w:val="28"/>
          <w:szCs w:val="28"/>
          <w:u w:val="single"/>
        </w:rPr>
      </w:pPr>
    </w:p>
    <w:p w14:paraId="7FEA85DD" w14:textId="38A819F0" w:rsidR="00661D21" w:rsidRDefault="00C45A5A" w:rsidP="00661D21">
      <w:pPr>
        <w:jc w:val="both"/>
        <w:rPr>
          <w:sz w:val="28"/>
          <w:szCs w:val="28"/>
        </w:rPr>
      </w:pPr>
      <w:r w:rsidRPr="00661D21">
        <w:rPr>
          <w:sz w:val="28"/>
          <w:szCs w:val="28"/>
        </w:rPr>
        <w:t xml:space="preserve">Instruction </w:t>
      </w:r>
      <w:r w:rsidR="00E4727D" w:rsidRPr="00661D21">
        <w:rPr>
          <w:sz w:val="28"/>
          <w:szCs w:val="28"/>
        </w:rPr>
        <w:t>10.05 should be used when there is a dispute over whether an employee or agent of an entity is personally liable under AS 45.50.</w:t>
      </w:r>
      <w:r w:rsidR="008D6461">
        <w:rPr>
          <w:sz w:val="28"/>
          <w:szCs w:val="28"/>
        </w:rPr>
        <w:t>531(a)</w:t>
      </w:r>
      <w:r w:rsidR="00E4727D" w:rsidRPr="00661D21">
        <w:rPr>
          <w:sz w:val="28"/>
          <w:szCs w:val="28"/>
        </w:rPr>
        <w:t xml:space="preserve"> for committing an </w:t>
      </w:r>
      <w:proofErr w:type="gramStart"/>
      <w:r w:rsidR="00E4727D" w:rsidRPr="00661D21">
        <w:rPr>
          <w:sz w:val="28"/>
          <w:szCs w:val="28"/>
        </w:rPr>
        <w:t>unfair</w:t>
      </w:r>
      <w:proofErr w:type="gramEnd"/>
      <w:r w:rsidR="00E4727D" w:rsidRPr="00661D21">
        <w:rPr>
          <w:sz w:val="28"/>
          <w:szCs w:val="28"/>
        </w:rPr>
        <w:t xml:space="preserve"> or deceptive act or practice.</w:t>
      </w:r>
    </w:p>
    <w:p w14:paraId="61DE17E2" w14:textId="631E61D9" w:rsidR="00C20FED" w:rsidRPr="00661D21" w:rsidRDefault="00C45A5A" w:rsidP="00661D21">
      <w:pPr>
        <w:jc w:val="both"/>
        <w:rPr>
          <w:sz w:val="28"/>
          <w:szCs w:val="28"/>
        </w:rPr>
      </w:pPr>
      <w:r w:rsidRPr="00661D21">
        <w:rPr>
          <w:sz w:val="28"/>
          <w:szCs w:val="28"/>
        </w:rPr>
        <w:br/>
      </w:r>
    </w:p>
    <w:p w14:paraId="20472C7E" w14:textId="77777777" w:rsidR="00C20FED" w:rsidRDefault="00C20FED" w:rsidP="00661D21">
      <w:pPr>
        <w:tabs>
          <w:tab w:val="center" w:pos="4680"/>
        </w:tabs>
        <w:jc w:val="both"/>
        <w:rPr>
          <w:b/>
          <w:sz w:val="28"/>
          <w:szCs w:val="28"/>
          <w:u w:val="single"/>
        </w:rPr>
      </w:pPr>
      <w:r w:rsidRPr="00661D21">
        <w:rPr>
          <w:sz w:val="28"/>
          <w:szCs w:val="28"/>
        </w:rPr>
        <w:tab/>
      </w:r>
      <w:r w:rsidRPr="00661D21">
        <w:rPr>
          <w:b/>
          <w:sz w:val="28"/>
          <w:szCs w:val="28"/>
          <w:u w:val="single"/>
        </w:rPr>
        <w:t>Comment</w:t>
      </w:r>
    </w:p>
    <w:p w14:paraId="1F9CB7B2" w14:textId="77777777" w:rsidR="00661D21" w:rsidRPr="00661D21" w:rsidRDefault="00661D21" w:rsidP="00661D21">
      <w:pPr>
        <w:tabs>
          <w:tab w:val="center" w:pos="4680"/>
        </w:tabs>
        <w:jc w:val="both"/>
        <w:rPr>
          <w:b/>
          <w:sz w:val="28"/>
          <w:szCs w:val="28"/>
          <w:u w:val="single"/>
        </w:rPr>
      </w:pPr>
    </w:p>
    <w:p w14:paraId="613865D0" w14:textId="77777777" w:rsidR="007801C6" w:rsidRPr="00661D21" w:rsidRDefault="00C20FED" w:rsidP="00661D21">
      <w:pPr>
        <w:jc w:val="both"/>
        <w:rPr>
          <w:sz w:val="28"/>
          <w:szCs w:val="28"/>
        </w:rPr>
      </w:pPr>
      <w:r w:rsidRPr="00661D21">
        <w:rPr>
          <w:sz w:val="28"/>
          <w:szCs w:val="28"/>
        </w:rPr>
        <w:t xml:space="preserve">This instruction recognizes that </w:t>
      </w:r>
      <w:r w:rsidR="00607FC0" w:rsidRPr="00661D21">
        <w:rPr>
          <w:sz w:val="28"/>
          <w:szCs w:val="28"/>
        </w:rPr>
        <w:t xml:space="preserve">individual </w:t>
      </w:r>
      <w:r w:rsidRPr="00661D21">
        <w:rPr>
          <w:sz w:val="28"/>
          <w:szCs w:val="28"/>
        </w:rPr>
        <w:t xml:space="preserve">agents and employees can be held </w:t>
      </w:r>
      <w:r w:rsidR="00607FC0" w:rsidRPr="00661D21">
        <w:rPr>
          <w:sz w:val="28"/>
          <w:szCs w:val="28"/>
        </w:rPr>
        <w:t xml:space="preserve">personally </w:t>
      </w:r>
      <w:r w:rsidRPr="00661D21">
        <w:rPr>
          <w:sz w:val="28"/>
          <w:szCs w:val="28"/>
        </w:rPr>
        <w:t xml:space="preserve">liable for the unfair or deceptive acts of a principal </w:t>
      </w:r>
      <w:r w:rsidR="00607FC0" w:rsidRPr="00661D21">
        <w:rPr>
          <w:sz w:val="28"/>
          <w:szCs w:val="28"/>
        </w:rPr>
        <w:t xml:space="preserve">or employer </w:t>
      </w:r>
      <w:r w:rsidRPr="00661D21">
        <w:rPr>
          <w:sz w:val="28"/>
          <w:szCs w:val="28"/>
        </w:rPr>
        <w:t xml:space="preserve">in cases involving consumer protection act claims. </w:t>
      </w:r>
      <w:proofErr w:type="gramStart"/>
      <w:r w:rsidR="007801C6" w:rsidRPr="00661D21">
        <w:rPr>
          <w:sz w:val="28"/>
          <w:szCs w:val="28"/>
        </w:rPr>
        <w:t xml:space="preserve">In </w:t>
      </w:r>
      <w:proofErr w:type="spellStart"/>
      <w:r w:rsidR="007801C6" w:rsidRPr="00661D21">
        <w:rPr>
          <w:i/>
          <w:sz w:val="28"/>
          <w:szCs w:val="28"/>
        </w:rPr>
        <w:t>Borgen</w:t>
      </w:r>
      <w:proofErr w:type="spellEnd"/>
      <w:r w:rsidR="007801C6" w:rsidRPr="00661D21">
        <w:rPr>
          <w:i/>
          <w:sz w:val="28"/>
          <w:szCs w:val="28"/>
        </w:rPr>
        <w:t xml:space="preserve"> v.</w:t>
      </w:r>
      <w:proofErr w:type="gramEnd"/>
      <w:r w:rsidR="007801C6" w:rsidRPr="00661D21">
        <w:rPr>
          <w:i/>
          <w:sz w:val="28"/>
          <w:szCs w:val="28"/>
        </w:rPr>
        <w:t xml:space="preserve"> </w:t>
      </w:r>
      <w:proofErr w:type="gramStart"/>
      <w:r w:rsidR="007801C6" w:rsidRPr="00661D21">
        <w:rPr>
          <w:i/>
          <w:sz w:val="28"/>
          <w:szCs w:val="28"/>
        </w:rPr>
        <w:t>A &amp; M Motors, Inc.</w:t>
      </w:r>
      <w:r w:rsidR="007801C6" w:rsidRPr="00661D21">
        <w:rPr>
          <w:sz w:val="28"/>
          <w:szCs w:val="28"/>
        </w:rPr>
        <w:t>, 273 P.3d 575 (Alaska 2012)</w:t>
      </w:r>
      <w:r w:rsidR="007801C6" w:rsidRPr="00661D21">
        <w:rPr>
          <w:i/>
          <w:sz w:val="28"/>
          <w:szCs w:val="28"/>
        </w:rPr>
        <w:t xml:space="preserve">, </w:t>
      </w:r>
      <w:r w:rsidR="007801C6" w:rsidRPr="00661D21">
        <w:rPr>
          <w:sz w:val="28"/>
          <w:szCs w:val="28"/>
        </w:rPr>
        <w:t>the Alaska Supreme affirmed dismissal of a claim against an individual for violating the UTPA because there was no evidence that the individual was involved in the transaction at issue.</w:t>
      </w:r>
      <w:proofErr w:type="gramEnd"/>
      <w:r w:rsidR="007801C6" w:rsidRPr="00661D21">
        <w:rPr>
          <w:sz w:val="28"/>
          <w:szCs w:val="28"/>
        </w:rPr>
        <w:t xml:space="preserve">  </w:t>
      </w:r>
      <w:proofErr w:type="gramStart"/>
      <w:r w:rsidR="007801C6" w:rsidRPr="00661D21">
        <w:rPr>
          <w:i/>
          <w:sz w:val="28"/>
          <w:szCs w:val="28"/>
        </w:rPr>
        <w:t xml:space="preserve">Id. </w:t>
      </w:r>
      <w:r w:rsidR="007801C6" w:rsidRPr="00661D21">
        <w:rPr>
          <w:sz w:val="28"/>
          <w:szCs w:val="28"/>
        </w:rPr>
        <w:t>at 593.</w:t>
      </w:r>
      <w:proofErr w:type="gramEnd"/>
      <w:r w:rsidR="007801C6" w:rsidRPr="00661D21">
        <w:rPr>
          <w:sz w:val="28"/>
          <w:szCs w:val="28"/>
        </w:rPr>
        <w:t xml:space="preserve">  In doing so, the court noted that “under the Federal Trade Commission Act employee liability for misrepresentation is not as broad as corporate liability,” and then summarized the test for finding an individual liable for UTPA violations:</w:t>
      </w:r>
    </w:p>
    <w:p w14:paraId="4BA6B773" w14:textId="77777777" w:rsidR="007801C6" w:rsidRPr="00661D21" w:rsidRDefault="007801C6" w:rsidP="00661D21">
      <w:pPr>
        <w:jc w:val="both"/>
        <w:rPr>
          <w:sz w:val="28"/>
          <w:szCs w:val="28"/>
        </w:rPr>
      </w:pPr>
    </w:p>
    <w:p w14:paraId="55D89D47" w14:textId="77777777" w:rsidR="007801C6" w:rsidRPr="00661D21" w:rsidRDefault="007801C6" w:rsidP="00661D21">
      <w:pPr>
        <w:ind w:left="720" w:right="720"/>
        <w:jc w:val="both"/>
        <w:rPr>
          <w:sz w:val="28"/>
          <w:szCs w:val="28"/>
        </w:rPr>
      </w:pPr>
      <w:r w:rsidRPr="00661D21">
        <w:rPr>
          <w:sz w:val="28"/>
          <w:szCs w:val="28"/>
        </w:rPr>
        <w:t xml:space="preserve">An individual is obligated to make consumer redress for violations of the FTC Act where he (1) participated in or had the authority to control the wrongful acts or practices; and (2) had some knowledge of the wrongful acts or practices. </w:t>
      </w:r>
      <w:proofErr w:type="gramStart"/>
      <w:r w:rsidRPr="00661D21">
        <w:rPr>
          <w:i/>
          <w:iCs/>
          <w:sz w:val="28"/>
          <w:szCs w:val="28"/>
        </w:rPr>
        <w:t>FTC v. Gem Merchandising Corp.</w:t>
      </w:r>
      <w:r w:rsidRPr="00661D21">
        <w:rPr>
          <w:sz w:val="28"/>
          <w:szCs w:val="28"/>
        </w:rPr>
        <w:t>, 87 F.3d 466, 470 (11th Cir.1996).</w:t>
      </w:r>
      <w:proofErr w:type="gramEnd"/>
      <w:r w:rsidRPr="00661D21">
        <w:rPr>
          <w:sz w:val="28"/>
          <w:szCs w:val="28"/>
        </w:rPr>
        <w:t xml:space="preserve"> To satisfy the knowledge requirement, </w:t>
      </w:r>
      <w:r w:rsidRPr="00661D21">
        <w:rPr>
          <w:sz w:val="28"/>
          <w:szCs w:val="28"/>
        </w:rPr>
        <w:lastRenderedPageBreak/>
        <w:t xml:space="preserve">the Commission does not need to demonstrate that the individual defendants possessed the intent to defraud, nor that the defendants had actual knowledge of the misrepresentations. </w:t>
      </w:r>
      <w:proofErr w:type="gramStart"/>
      <w:r w:rsidRPr="00661D21">
        <w:rPr>
          <w:i/>
          <w:iCs/>
          <w:sz w:val="28"/>
          <w:szCs w:val="28"/>
        </w:rPr>
        <w:t>FTC v. Amy Travel Serv., Inc.</w:t>
      </w:r>
      <w:r w:rsidRPr="00661D21">
        <w:rPr>
          <w:sz w:val="28"/>
          <w:szCs w:val="28"/>
        </w:rPr>
        <w:t>, 875 F.2d 564, 574 (7th Cir.1989).</w:t>
      </w:r>
      <w:proofErr w:type="gramEnd"/>
      <w:r w:rsidRPr="00661D21">
        <w:rPr>
          <w:sz w:val="28"/>
          <w:szCs w:val="28"/>
        </w:rPr>
        <w:t xml:space="preserve"> “Reckless indifference to the truth or falsity of the representations or an awareness of a high probability of fraud coupled with an intentional avoidance of the truth will suffice. Moreover, a defendant's participation in corporation affairs is probative of knowledge.” </w:t>
      </w:r>
    </w:p>
    <w:p w14:paraId="72169936" w14:textId="77777777" w:rsidR="007801C6" w:rsidRPr="00661D21" w:rsidRDefault="007801C6" w:rsidP="00661D21">
      <w:pPr>
        <w:jc w:val="both"/>
        <w:rPr>
          <w:sz w:val="28"/>
          <w:szCs w:val="28"/>
        </w:rPr>
      </w:pPr>
    </w:p>
    <w:p w14:paraId="6B45DECA" w14:textId="76668CE5" w:rsidR="00C20FED" w:rsidRPr="00CC3C0D" w:rsidRDefault="007801C6" w:rsidP="00661D21">
      <w:pPr>
        <w:jc w:val="both"/>
        <w:rPr>
          <w:rFonts w:ascii="Bookman Old Style" w:hAnsi="Bookman Old Style" w:cs="Arial"/>
          <w:sz w:val="26"/>
          <w:szCs w:val="26"/>
        </w:rPr>
      </w:pPr>
      <w:r w:rsidRPr="00661D21">
        <w:rPr>
          <w:i/>
          <w:sz w:val="28"/>
          <w:szCs w:val="28"/>
        </w:rPr>
        <w:t>Id.</w:t>
      </w:r>
      <w:r w:rsidRPr="00661D21">
        <w:rPr>
          <w:sz w:val="28"/>
          <w:szCs w:val="28"/>
        </w:rPr>
        <w:t xml:space="preserve"> at 593 n.75 (quoting </w:t>
      </w:r>
      <w:r w:rsidRPr="00661D21">
        <w:rPr>
          <w:i/>
          <w:sz w:val="28"/>
          <w:szCs w:val="28"/>
        </w:rPr>
        <w:t xml:space="preserve">F.T.C. v. </w:t>
      </w:r>
      <w:proofErr w:type="spellStart"/>
      <w:r w:rsidRPr="00661D21">
        <w:rPr>
          <w:i/>
          <w:sz w:val="28"/>
          <w:szCs w:val="28"/>
        </w:rPr>
        <w:t>SlimAmerica</w:t>
      </w:r>
      <w:proofErr w:type="spellEnd"/>
      <w:r w:rsidRPr="00661D21">
        <w:rPr>
          <w:i/>
          <w:sz w:val="28"/>
          <w:szCs w:val="28"/>
        </w:rPr>
        <w:t>, Inc.</w:t>
      </w:r>
      <w:r w:rsidRPr="00661D21">
        <w:rPr>
          <w:sz w:val="28"/>
          <w:szCs w:val="28"/>
        </w:rPr>
        <w:t>, 77 F.</w:t>
      </w:r>
      <w:r w:rsidR="002704A4" w:rsidRPr="00661D21">
        <w:rPr>
          <w:sz w:val="28"/>
          <w:szCs w:val="28"/>
        </w:rPr>
        <w:t xml:space="preserve"> </w:t>
      </w:r>
      <w:r w:rsidRPr="00661D21">
        <w:rPr>
          <w:sz w:val="28"/>
          <w:szCs w:val="28"/>
        </w:rPr>
        <w:t>Supp.</w:t>
      </w:r>
      <w:r w:rsidR="002704A4" w:rsidRPr="00661D21">
        <w:rPr>
          <w:sz w:val="28"/>
          <w:szCs w:val="28"/>
        </w:rPr>
        <w:t xml:space="preserve"> </w:t>
      </w:r>
      <w:r w:rsidRPr="00661D21">
        <w:rPr>
          <w:sz w:val="28"/>
          <w:szCs w:val="28"/>
        </w:rPr>
        <w:t>2d. 1263, 1276 (S.D.</w:t>
      </w:r>
      <w:r w:rsidR="002704A4" w:rsidRPr="00661D21">
        <w:rPr>
          <w:sz w:val="28"/>
          <w:szCs w:val="28"/>
        </w:rPr>
        <w:t xml:space="preserve"> </w:t>
      </w:r>
      <w:r w:rsidRPr="00661D21">
        <w:rPr>
          <w:sz w:val="28"/>
          <w:szCs w:val="28"/>
        </w:rPr>
        <w:t>Fla.</w:t>
      </w:r>
      <w:r w:rsidR="002704A4" w:rsidRPr="00661D21">
        <w:rPr>
          <w:sz w:val="28"/>
          <w:szCs w:val="28"/>
        </w:rPr>
        <w:t xml:space="preserve"> </w:t>
      </w:r>
      <w:r w:rsidRPr="00661D21">
        <w:rPr>
          <w:sz w:val="28"/>
          <w:szCs w:val="28"/>
        </w:rPr>
        <w:t xml:space="preserve">1999)).  </w:t>
      </w:r>
      <w:r w:rsidRPr="00661D21">
        <w:rPr>
          <w:i/>
          <w:sz w:val="28"/>
          <w:szCs w:val="28"/>
        </w:rPr>
        <w:t>See also</w:t>
      </w:r>
      <w:r w:rsidR="00C20FED" w:rsidRPr="00661D21">
        <w:rPr>
          <w:sz w:val="28"/>
          <w:szCs w:val="28"/>
        </w:rPr>
        <w:t xml:space="preserve"> </w:t>
      </w:r>
      <w:r w:rsidR="00C20FED" w:rsidRPr="00661D21">
        <w:rPr>
          <w:i/>
          <w:sz w:val="28"/>
          <w:szCs w:val="28"/>
        </w:rPr>
        <w:t>Walker v. FDIC</w:t>
      </w:r>
      <w:r w:rsidR="00C20FED" w:rsidRPr="00661D21">
        <w:rPr>
          <w:sz w:val="28"/>
          <w:szCs w:val="28"/>
        </w:rPr>
        <w:t xml:space="preserve">, 970 F.2d 114 (5th Cir. 1992) (applying Texas law); </w:t>
      </w:r>
      <w:r w:rsidR="00C20FED" w:rsidRPr="00661D21">
        <w:rPr>
          <w:i/>
          <w:sz w:val="28"/>
          <w:szCs w:val="28"/>
        </w:rPr>
        <w:t xml:space="preserve">Daniels v. </w:t>
      </w:r>
      <w:proofErr w:type="spellStart"/>
      <w:r w:rsidR="00C20FED" w:rsidRPr="00661D21">
        <w:rPr>
          <w:i/>
          <w:sz w:val="28"/>
          <w:szCs w:val="28"/>
        </w:rPr>
        <w:t>Baritz</w:t>
      </w:r>
      <w:proofErr w:type="spellEnd"/>
      <w:r w:rsidR="00C20FED" w:rsidRPr="00661D21">
        <w:rPr>
          <w:sz w:val="28"/>
          <w:szCs w:val="28"/>
        </w:rPr>
        <w:t>, 2003 WL 21027238 (E.D. Pa.) (</w:t>
      </w:r>
      <w:proofErr w:type="gramStart"/>
      <w:r w:rsidR="00C20FED" w:rsidRPr="00661D21">
        <w:rPr>
          <w:sz w:val="28"/>
          <w:szCs w:val="28"/>
        </w:rPr>
        <w:t>holding</w:t>
      </w:r>
      <w:proofErr w:type="gramEnd"/>
      <w:r w:rsidR="00C20FED" w:rsidRPr="00661D21">
        <w:rPr>
          <w:sz w:val="28"/>
          <w:szCs w:val="28"/>
        </w:rPr>
        <w:t xml:space="preserve"> employees and agents liable if they “participated” in unfair or deceptive acts).  The general rule is that if the agent or employee had knowledge of the unfair or deceptive act, and participates in furthering the conduct, he </w:t>
      </w:r>
      <w:r w:rsidR="00607FC0" w:rsidRPr="00661D21">
        <w:rPr>
          <w:sz w:val="28"/>
          <w:szCs w:val="28"/>
        </w:rPr>
        <w:t xml:space="preserve">or she </w:t>
      </w:r>
      <w:r w:rsidR="00C20FED" w:rsidRPr="00661D21">
        <w:rPr>
          <w:sz w:val="28"/>
          <w:szCs w:val="28"/>
        </w:rPr>
        <w:t>can be held personally liable</w:t>
      </w:r>
      <w:r w:rsidR="00C20FED" w:rsidRPr="00CC3C0D">
        <w:rPr>
          <w:rFonts w:ascii="Bookman Old Style" w:hAnsi="Bookman Old Style" w:cs="Arial"/>
          <w:sz w:val="26"/>
          <w:szCs w:val="26"/>
        </w:rPr>
        <w:t>.</w:t>
      </w:r>
    </w:p>
    <w:sectPr w:rsidR="00C20FED" w:rsidRPr="00CC3C0D" w:rsidSect="00661D2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855E6" w14:textId="77777777" w:rsidR="00181FFF" w:rsidRDefault="00181FFF">
      <w:r>
        <w:separator/>
      </w:r>
    </w:p>
  </w:endnote>
  <w:endnote w:type="continuationSeparator" w:id="0">
    <w:p w14:paraId="1601A620" w14:textId="77777777" w:rsidR="00181FFF" w:rsidRDefault="0018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76263" w14:textId="77777777" w:rsidR="00FC329D" w:rsidRDefault="00FC32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925825"/>
      <w:docPartObj>
        <w:docPartGallery w:val="Page Numbers (Bottom of Page)"/>
        <w:docPartUnique/>
      </w:docPartObj>
    </w:sdtPr>
    <w:sdtEndPr>
      <w:rPr>
        <w:sz w:val="22"/>
        <w:szCs w:val="22"/>
      </w:rPr>
    </w:sdtEndPr>
    <w:sdtContent>
      <w:sdt>
        <w:sdtPr>
          <w:rPr>
            <w:sz w:val="22"/>
            <w:szCs w:val="22"/>
          </w:rPr>
          <w:id w:val="98381352"/>
          <w:docPartObj>
            <w:docPartGallery w:val="Page Numbers (Top of Page)"/>
            <w:docPartUnique/>
          </w:docPartObj>
        </w:sdtPr>
        <w:sdtEndPr/>
        <w:sdtContent>
          <w:p w14:paraId="06BC0E58" w14:textId="7E524BF9" w:rsidR="00661D21" w:rsidRPr="00661D21" w:rsidRDefault="00661D21" w:rsidP="00661D21">
            <w:pPr>
              <w:pStyle w:val="Footer"/>
              <w:tabs>
                <w:tab w:val="clear" w:pos="8640"/>
              </w:tabs>
              <w:rPr>
                <w:sz w:val="22"/>
                <w:szCs w:val="22"/>
              </w:rPr>
            </w:pPr>
            <w:r>
              <w:rPr>
                <w:sz w:val="22"/>
                <w:szCs w:val="22"/>
              </w:rPr>
              <w:t>Revised 2020</w:t>
            </w:r>
            <w:r>
              <w:rPr>
                <w:sz w:val="22"/>
                <w:szCs w:val="22"/>
              </w:rPr>
              <w:tab/>
            </w:r>
            <w:r>
              <w:rPr>
                <w:sz w:val="22"/>
                <w:szCs w:val="22"/>
              </w:rPr>
              <w:tab/>
            </w:r>
            <w:r>
              <w:rPr>
                <w:sz w:val="22"/>
                <w:szCs w:val="22"/>
              </w:rPr>
              <w:tab/>
            </w:r>
            <w:r>
              <w:rPr>
                <w:sz w:val="22"/>
                <w:szCs w:val="22"/>
              </w:rPr>
              <w:tab/>
            </w:r>
            <w:r>
              <w:rPr>
                <w:sz w:val="22"/>
                <w:szCs w:val="22"/>
              </w:rPr>
              <w:tab/>
              <w:t xml:space="preserve">        10.05 - </w:t>
            </w:r>
            <w:r w:rsidRPr="00661D21">
              <w:rPr>
                <w:sz w:val="22"/>
                <w:szCs w:val="22"/>
              </w:rPr>
              <w:t xml:space="preserve">Page </w:t>
            </w:r>
            <w:r w:rsidRPr="00661D21">
              <w:rPr>
                <w:bCs/>
                <w:sz w:val="22"/>
                <w:szCs w:val="22"/>
              </w:rPr>
              <w:fldChar w:fldCharType="begin"/>
            </w:r>
            <w:r w:rsidRPr="00661D21">
              <w:rPr>
                <w:bCs/>
                <w:sz w:val="22"/>
                <w:szCs w:val="22"/>
              </w:rPr>
              <w:instrText xml:space="preserve"> PAGE </w:instrText>
            </w:r>
            <w:r w:rsidRPr="00661D21">
              <w:rPr>
                <w:bCs/>
                <w:sz w:val="22"/>
                <w:szCs w:val="22"/>
              </w:rPr>
              <w:fldChar w:fldCharType="separate"/>
            </w:r>
            <w:r w:rsidR="007823C5">
              <w:rPr>
                <w:bCs/>
                <w:noProof/>
                <w:sz w:val="22"/>
                <w:szCs w:val="22"/>
              </w:rPr>
              <w:t>1</w:t>
            </w:r>
            <w:r w:rsidRPr="00661D21">
              <w:rPr>
                <w:bCs/>
                <w:sz w:val="22"/>
                <w:szCs w:val="22"/>
              </w:rPr>
              <w:fldChar w:fldCharType="end"/>
            </w:r>
            <w:r w:rsidRPr="00661D21">
              <w:rPr>
                <w:sz w:val="22"/>
                <w:szCs w:val="22"/>
              </w:rPr>
              <w:t xml:space="preserve"> of </w:t>
            </w:r>
            <w:r w:rsidRPr="00661D21">
              <w:rPr>
                <w:bCs/>
                <w:sz w:val="22"/>
                <w:szCs w:val="22"/>
              </w:rPr>
              <w:fldChar w:fldCharType="begin"/>
            </w:r>
            <w:r w:rsidRPr="00661D21">
              <w:rPr>
                <w:bCs/>
                <w:sz w:val="22"/>
                <w:szCs w:val="22"/>
              </w:rPr>
              <w:instrText xml:space="preserve"> NUMPAGES  </w:instrText>
            </w:r>
            <w:r w:rsidRPr="00661D21">
              <w:rPr>
                <w:bCs/>
                <w:sz w:val="22"/>
                <w:szCs w:val="22"/>
              </w:rPr>
              <w:fldChar w:fldCharType="separate"/>
            </w:r>
            <w:r w:rsidR="007823C5">
              <w:rPr>
                <w:bCs/>
                <w:noProof/>
                <w:sz w:val="22"/>
                <w:szCs w:val="22"/>
              </w:rPr>
              <w:t>2</w:t>
            </w:r>
            <w:r w:rsidRPr="00661D21">
              <w:rPr>
                <w:bCs/>
                <w:sz w:val="22"/>
                <w:szCs w:val="22"/>
              </w:rPr>
              <w:fldChar w:fldCharType="end"/>
            </w:r>
          </w:p>
        </w:sdtContent>
      </w:sdt>
    </w:sdtContent>
  </w:sdt>
  <w:p w14:paraId="21961A24" w14:textId="62EB7607" w:rsidR="00093735" w:rsidRPr="00661D21" w:rsidRDefault="00093735" w:rsidP="00661D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EE244" w14:textId="77777777" w:rsidR="00FC329D" w:rsidRDefault="00FC3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1459F" w14:textId="77777777" w:rsidR="00181FFF" w:rsidRDefault="00181FFF">
      <w:r>
        <w:separator/>
      </w:r>
    </w:p>
  </w:footnote>
  <w:footnote w:type="continuationSeparator" w:id="0">
    <w:p w14:paraId="51690AB6" w14:textId="77777777" w:rsidR="00181FFF" w:rsidRDefault="00181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C5114" w14:textId="77777777" w:rsidR="00FC329D" w:rsidRDefault="00FC32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27F78" w14:textId="77777777" w:rsidR="00FC329D" w:rsidRDefault="00FC32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48652" w14:textId="77777777" w:rsidR="00FC329D" w:rsidRDefault="00FC3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5"/>
    <w:multiLevelType w:val="multilevel"/>
    <w:tmpl w:val="00000000"/>
    <w:name w:val="AutoList1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7"/>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8"/>
    <w:multiLevelType w:val="multilevel"/>
    <w:tmpl w:val="00000000"/>
    <w:name w:val="AutoList1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9"/>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A"/>
    <w:multiLevelType w:val="multilevel"/>
    <w:tmpl w:val="00000000"/>
    <w:name w:val="AutoList1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1"/>
      <w:lvl w:ilvl="0">
        <w:start w:val="1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2"/>
    <w:lvlOverride w:ilvl="0">
      <w:startOverride w:val="6"/>
      <w:lvl w:ilvl="0">
        <w:start w:val="6"/>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3"/>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4"/>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k, Jim (ANC)">
    <w15:presenceInfo w15:providerId="AD" w15:userId="S::JLeik@perkinscoie.com::55e93035-3fad-400e-8d2f-588d0d0394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2B"/>
    <w:rsid w:val="0005512B"/>
    <w:rsid w:val="00093735"/>
    <w:rsid w:val="000E4620"/>
    <w:rsid w:val="000F79F5"/>
    <w:rsid w:val="00143C0E"/>
    <w:rsid w:val="00160BBC"/>
    <w:rsid w:val="00181FFF"/>
    <w:rsid w:val="001B572F"/>
    <w:rsid w:val="001F09FC"/>
    <w:rsid w:val="00227886"/>
    <w:rsid w:val="002326E8"/>
    <w:rsid w:val="00245057"/>
    <w:rsid w:val="002704A4"/>
    <w:rsid w:val="00274451"/>
    <w:rsid w:val="002A4F07"/>
    <w:rsid w:val="00364D61"/>
    <w:rsid w:val="003705FA"/>
    <w:rsid w:val="00372769"/>
    <w:rsid w:val="003A214C"/>
    <w:rsid w:val="003A2717"/>
    <w:rsid w:val="004312AF"/>
    <w:rsid w:val="00456231"/>
    <w:rsid w:val="004741A1"/>
    <w:rsid w:val="00554CEE"/>
    <w:rsid w:val="00580526"/>
    <w:rsid w:val="0058752A"/>
    <w:rsid w:val="005C2DF4"/>
    <w:rsid w:val="006050D9"/>
    <w:rsid w:val="00607FC0"/>
    <w:rsid w:val="00651083"/>
    <w:rsid w:val="006552AC"/>
    <w:rsid w:val="00661D21"/>
    <w:rsid w:val="00670236"/>
    <w:rsid w:val="0069369E"/>
    <w:rsid w:val="006A60C5"/>
    <w:rsid w:val="006C71CB"/>
    <w:rsid w:val="006E08CD"/>
    <w:rsid w:val="00714F7D"/>
    <w:rsid w:val="0072029E"/>
    <w:rsid w:val="007310CB"/>
    <w:rsid w:val="00751FE1"/>
    <w:rsid w:val="007801C6"/>
    <w:rsid w:val="007823C5"/>
    <w:rsid w:val="007C1642"/>
    <w:rsid w:val="007F186B"/>
    <w:rsid w:val="00803355"/>
    <w:rsid w:val="00812789"/>
    <w:rsid w:val="00846EAF"/>
    <w:rsid w:val="00852A1E"/>
    <w:rsid w:val="008C2BFD"/>
    <w:rsid w:val="008D6461"/>
    <w:rsid w:val="008D6AC7"/>
    <w:rsid w:val="00900620"/>
    <w:rsid w:val="009049A1"/>
    <w:rsid w:val="00971857"/>
    <w:rsid w:val="009C5A2F"/>
    <w:rsid w:val="00A2676F"/>
    <w:rsid w:val="00AD69AD"/>
    <w:rsid w:val="00AE2621"/>
    <w:rsid w:val="00B42C89"/>
    <w:rsid w:val="00B92BAF"/>
    <w:rsid w:val="00B96365"/>
    <w:rsid w:val="00BB4C67"/>
    <w:rsid w:val="00BE5F1E"/>
    <w:rsid w:val="00C20594"/>
    <w:rsid w:val="00C20FED"/>
    <w:rsid w:val="00C45A5A"/>
    <w:rsid w:val="00CC3C0D"/>
    <w:rsid w:val="00D244FB"/>
    <w:rsid w:val="00DA07EE"/>
    <w:rsid w:val="00DB5A76"/>
    <w:rsid w:val="00DB78AE"/>
    <w:rsid w:val="00DD3A7D"/>
    <w:rsid w:val="00DD5ACE"/>
    <w:rsid w:val="00E0113C"/>
    <w:rsid w:val="00E07E76"/>
    <w:rsid w:val="00E3521D"/>
    <w:rsid w:val="00E44BD2"/>
    <w:rsid w:val="00E4727D"/>
    <w:rsid w:val="00E56469"/>
    <w:rsid w:val="00E94B7C"/>
    <w:rsid w:val="00E97698"/>
    <w:rsid w:val="00EB45B1"/>
    <w:rsid w:val="00EF458E"/>
    <w:rsid w:val="00F551FE"/>
    <w:rsid w:val="00F70C11"/>
    <w:rsid w:val="00FC329D"/>
    <w:rsid w:val="00FE72D8"/>
    <w:rsid w:val="00FF365A"/>
    <w:rsid w:val="00FF530D"/>
    <w:rsid w:val="00FF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028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autoSpaceDE w:val="0"/>
      <w:autoSpaceDN w:val="0"/>
      <w:adjustRightInd w:val="0"/>
      <w:jc w:val="center"/>
      <w:outlineLvl w:val="0"/>
    </w:pPr>
    <w:rPr>
      <w:rFonts w:ascii="Courier New" w:hAnsi="Courier New"/>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enter">
    <w:name w:val="center"/>
    <w:basedOn w:val="Normal"/>
    <w:pPr>
      <w:keepLines/>
      <w:widowControl/>
      <w:spacing w:before="240" w:line="240" w:lineRule="atLeast"/>
      <w:jc w:val="center"/>
    </w:pPr>
    <w:rPr>
      <w:snapToGrid/>
      <w:sz w:val="26"/>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paragraph" w:customStyle="1" w:styleId="Level1">
    <w:name w:val="Level 1"/>
    <w:basedOn w:val="Normal"/>
    <w:pPr>
      <w:tabs>
        <w:tab w:val="num" w:pos="360"/>
      </w:tabs>
      <w:autoSpaceDE w:val="0"/>
      <w:autoSpaceDN w:val="0"/>
      <w:adjustRightInd w:val="0"/>
      <w:ind w:left="1440" w:hanging="720"/>
      <w:outlineLvl w:val="0"/>
    </w:pPr>
    <w:rPr>
      <w:snapToGrid/>
    </w:rPr>
  </w:style>
  <w:style w:type="paragraph" w:styleId="Header">
    <w:name w:val="header"/>
    <w:basedOn w:val="Normal"/>
    <w:pPr>
      <w:tabs>
        <w:tab w:val="center" w:pos="4320"/>
        <w:tab w:val="right" w:pos="8640"/>
      </w:tabs>
      <w:autoSpaceDE w:val="0"/>
      <w:autoSpaceDN w:val="0"/>
      <w:adjustRightInd w:val="0"/>
    </w:pPr>
    <w:rPr>
      <w:snapToGrid/>
    </w:rPr>
  </w:style>
  <w:style w:type="paragraph" w:styleId="BodyTextIndent">
    <w:name w:val="Body Text Indent"/>
    <w:basedOn w:val="Normal"/>
    <w:pPr>
      <w:autoSpaceDE w:val="0"/>
      <w:autoSpaceDN w:val="0"/>
      <w:adjustRightInd w:val="0"/>
      <w:ind w:firstLine="720"/>
    </w:pPr>
    <w:rPr>
      <w:rFonts w:ascii="Courier New" w:hAnsi="Courier New"/>
      <w:b/>
      <w:snapToGrid/>
    </w:rPr>
  </w:style>
  <w:style w:type="paragraph" w:styleId="BodyTextIndent2">
    <w:name w:val="Body Text Indent 2"/>
    <w:basedOn w:val="Normal"/>
    <w:pPr>
      <w:autoSpaceDE w:val="0"/>
      <w:autoSpaceDN w:val="0"/>
      <w:adjustRightInd w:val="0"/>
      <w:ind w:firstLine="720"/>
    </w:pPr>
    <w:rPr>
      <w:snapToGrid/>
    </w:rPr>
  </w:style>
  <w:style w:type="paragraph" w:styleId="BodyTextIndent3">
    <w:name w:val="Body Text Indent 3"/>
    <w:basedOn w:val="Normal"/>
    <w:pPr>
      <w:autoSpaceDE w:val="0"/>
      <w:autoSpaceDN w:val="0"/>
      <w:adjustRightInd w:val="0"/>
      <w:ind w:left="720"/>
    </w:pPr>
    <w:rPr>
      <w:snapToGrid/>
    </w:rPr>
  </w:style>
  <w:style w:type="paragraph" w:styleId="BodyText">
    <w:name w:val="Body Text"/>
    <w:basedOn w:val="Normal"/>
    <w:pPr>
      <w:autoSpaceDE w:val="0"/>
      <w:autoSpaceDN w:val="0"/>
      <w:adjustRightInd w:val="0"/>
    </w:pPr>
    <w:rPr>
      <w:b/>
      <w:snapToGrid/>
    </w:rPr>
  </w:style>
  <w:style w:type="paragraph" w:styleId="Footer">
    <w:name w:val="footer"/>
    <w:basedOn w:val="Normal"/>
    <w:link w:val="FooterChar"/>
    <w:uiPriority w:val="99"/>
    <w:rsid w:val="005C2DF4"/>
    <w:pPr>
      <w:tabs>
        <w:tab w:val="center" w:pos="4320"/>
        <w:tab w:val="right" w:pos="8640"/>
      </w:tabs>
    </w:pPr>
  </w:style>
  <w:style w:type="character" w:styleId="PageNumber">
    <w:name w:val="page number"/>
    <w:basedOn w:val="DefaultParagraphFont"/>
    <w:rsid w:val="005C2DF4"/>
  </w:style>
  <w:style w:type="paragraph" w:styleId="BalloonText">
    <w:name w:val="Balloon Text"/>
    <w:basedOn w:val="Normal"/>
    <w:link w:val="BalloonTextChar"/>
    <w:uiPriority w:val="99"/>
    <w:semiHidden/>
    <w:unhideWhenUsed/>
    <w:rsid w:val="00780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1C6"/>
    <w:rPr>
      <w:rFonts w:ascii="Segoe UI" w:hAnsi="Segoe UI" w:cs="Segoe UI"/>
      <w:snapToGrid w:val="0"/>
      <w:sz w:val="18"/>
      <w:szCs w:val="18"/>
    </w:rPr>
  </w:style>
  <w:style w:type="character" w:customStyle="1" w:styleId="FooterChar">
    <w:name w:val="Footer Char"/>
    <w:basedOn w:val="DefaultParagraphFont"/>
    <w:link w:val="Footer"/>
    <w:uiPriority w:val="99"/>
    <w:rsid w:val="00661D21"/>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autoSpaceDE w:val="0"/>
      <w:autoSpaceDN w:val="0"/>
      <w:adjustRightInd w:val="0"/>
      <w:jc w:val="center"/>
      <w:outlineLvl w:val="0"/>
    </w:pPr>
    <w:rPr>
      <w:rFonts w:ascii="Courier New" w:hAnsi="Courier New"/>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enter">
    <w:name w:val="center"/>
    <w:basedOn w:val="Normal"/>
    <w:pPr>
      <w:keepLines/>
      <w:widowControl/>
      <w:spacing w:before="240" w:line="240" w:lineRule="atLeast"/>
      <w:jc w:val="center"/>
    </w:pPr>
    <w:rPr>
      <w:snapToGrid/>
      <w:sz w:val="26"/>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paragraph" w:customStyle="1" w:styleId="Level1">
    <w:name w:val="Level 1"/>
    <w:basedOn w:val="Normal"/>
    <w:pPr>
      <w:tabs>
        <w:tab w:val="num" w:pos="360"/>
      </w:tabs>
      <w:autoSpaceDE w:val="0"/>
      <w:autoSpaceDN w:val="0"/>
      <w:adjustRightInd w:val="0"/>
      <w:ind w:left="1440" w:hanging="720"/>
      <w:outlineLvl w:val="0"/>
    </w:pPr>
    <w:rPr>
      <w:snapToGrid/>
    </w:rPr>
  </w:style>
  <w:style w:type="paragraph" w:styleId="Header">
    <w:name w:val="header"/>
    <w:basedOn w:val="Normal"/>
    <w:pPr>
      <w:tabs>
        <w:tab w:val="center" w:pos="4320"/>
        <w:tab w:val="right" w:pos="8640"/>
      </w:tabs>
      <w:autoSpaceDE w:val="0"/>
      <w:autoSpaceDN w:val="0"/>
      <w:adjustRightInd w:val="0"/>
    </w:pPr>
    <w:rPr>
      <w:snapToGrid/>
    </w:rPr>
  </w:style>
  <w:style w:type="paragraph" w:styleId="BodyTextIndent">
    <w:name w:val="Body Text Indent"/>
    <w:basedOn w:val="Normal"/>
    <w:pPr>
      <w:autoSpaceDE w:val="0"/>
      <w:autoSpaceDN w:val="0"/>
      <w:adjustRightInd w:val="0"/>
      <w:ind w:firstLine="720"/>
    </w:pPr>
    <w:rPr>
      <w:rFonts w:ascii="Courier New" w:hAnsi="Courier New"/>
      <w:b/>
      <w:snapToGrid/>
    </w:rPr>
  </w:style>
  <w:style w:type="paragraph" w:styleId="BodyTextIndent2">
    <w:name w:val="Body Text Indent 2"/>
    <w:basedOn w:val="Normal"/>
    <w:pPr>
      <w:autoSpaceDE w:val="0"/>
      <w:autoSpaceDN w:val="0"/>
      <w:adjustRightInd w:val="0"/>
      <w:ind w:firstLine="720"/>
    </w:pPr>
    <w:rPr>
      <w:snapToGrid/>
    </w:rPr>
  </w:style>
  <w:style w:type="paragraph" w:styleId="BodyTextIndent3">
    <w:name w:val="Body Text Indent 3"/>
    <w:basedOn w:val="Normal"/>
    <w:pPr>
      <w:autoSpaceDE w:val="0"/>
      <w:autoSpaceDN w:val="0"/>
      <w:adjustRightInd w:val="0"/>
      <w:ind w:left="720"/>
    </w:pPr>
    <w:rPr>
      <w:snapToGrid/>
    </w:rPr>
  </w:style>
  <w:style w:type="paragraph" w:styleId="BodyText">
    <w:name w:val="Body Text"/>
    <w:basedOn w:val="Normal"/>
    <w:pPr>
      <w:autoSpaceDE w:val="0"/>
      <w:autoSpaceDN w:val="0"/>
      <w:adjustRightInd w:val="0"/>
    </w:pPr>
    <w:rPr>
      <w:b/>
      <w:snapToGrid/>
    </w:rPr>
  </w:style>
  <w:style w:type="paragraph" w:styleId="Footer">
    <w:name w:val="footer"/>
    <w:basedOn w:val="Normal"/>
    <w:link w:val="FooterChar"/>
    <w:uiPriority w:val="99"/>
    <w:rsid w:val="005C2DF4"/>
    <w:pPr>
      <w:tabs>
        <w:tab w:val="center" w:pos="4320"/>
        <w:tab w:val="right" w:pos="8640"/>
      </w:tabs>
    </w:pPr>
  </w:style>
  <w:style w:type="character" w:styleId="PageNumber">
    <w:name w:val="page number"/>
    <w:basedOn w:val="DefaultParagraphFont"/>
    <w:rsid w:val="005C2DF4"/>
  </w:style>
  <w:style w:type="paragraph" w:styleId="BalloonText">
    <w:name w:val="Balloon Text"/>
    <w:basedOn w:val="Normal"/>
    <w:link w:val="BalloonTextChar"/>
    <w:uiPriority w:val="99"/>
    <w:semiHidden/>
    <w:unhideWhenUsed/>
    <w:rsid w:val="00780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1C6"/>
    <w:rPr>
      <w:rFonts w:ascii="Segoe UI" w:hAnsi="Segoe UI" w:cs="Segoe UI"/>
      <w:snapToGrid w:val="0"/>
      <w:sz w:val="18"/>
      <w:szCs w:val="18"/>
    </w:rPr>
  </w:style>
  <w:style w:type="character" w:customStyle="1" w:styleId="FooterChar">
    <w:name w:val="Footer Char"/>
    <w:basedOn w:val="DefaultParagraphFont"/>
    <w:link w:val="Footer"/>
    <w:uiPriority w:val="99"/>
    <w:rsid w:val="00661D2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002262">
      <w:bodyDiv w:val="1"/>
      <w:marLeft w:val="0"/>
      <w:marRight w:val="0"/>
      <w:marTop w:val="0"/>
      <w:marBottom w:val="0"/>
      <w:divBdr>
        <w:top w:val="none" w:sz="0" w:space="0" w:color="auto"/>
        <w:left w:val="none" w:sz="0" w:space="0" w:color="auto"/>
        <w:bottom w:val="none" w:sz="0" w:space="0" w:color="auto"/>
        <w:right w:val="none" w:sz="0" w:space="0" w:color="auto"/>
      </w:divBdr>
      <w:divsChild>
        <w:div w:id="1644189884">
          <w:marLeft w:val="0"/>
          <w:marRight w:val="0"/>
          <w:marTop w:val="0"/>
          <w:marBottom w:val="0"/>
          <w:divBdr>
            <w:top w:val="none" w:sz="0" w:space="0" w:color="auto"/>
            <w:left w:val="none" w:sz="0" w:space="0" w:color="auto"/>
            <w:bottom w:val="none" w:sz="0" w:space="0" w:color="auto"/>
            <w:right w:val="none" w:sz="0" w:space="0" w:color="auto"/>
          </w:divBdr>
          <w:divsChild>
            <w:div w:id="855114324">
              <w:marLeft w:val="0"/>
              <w:marRight w:val="0"/>
              <w:marTop w:val="0"/>
              <w:marBottom w:val="0"/>
              <w:divBdr>
                <w:top w:val="none" w:sz="0" w:space="0" w:color="auto"/>
                <w:left w:val="none" w:sz="0" w:space="0" w:color="auto"/>
                <w:bottom w:val="none" w:sz="0" w:space="0" w:color="auto"/>
                <w:right w:val="none" w:sz="0" w:space="0" w:color="auto"/>
              </w:divBdr>
              <w:divsChild>
                <w:div w:id="605430637">
                  <w:marLeft w:val="0"/>
                  <w:marRight w:val="0"/>
                  <w:marTop w:val="0"/>
                  <w:marBottom w:val="0"/>
                  <w:divBdr>
                    <w:top w:val="none" w:sz="0" w:space="0" w:color="auto"/>
                    <w:left w:val="none" w:sz="0" w:space="0" w:color="auto"/>
                    <w:bottom w:val="none" w:sz="0" w:space="0" w:color="auto"/>
                    <w:right w:val="none" w:sz="0" w:space="0" w:color="auto"/>
                  </w:divBdr>
                </w:div>
                <w:div w:id="1964843164">
                  <w:marLeft w:val="0"/>
                  <w:marRight w:val="0"/>
                  <w:marTop w:val="0"/>
                  <w:marBottom w:val="0"/>
                  <w:divBdr>
                    <w:top w:val="none" w:sz="0" w:space="0" w:color="auto"/>
                    <w:left w:val="none" w:sz="0" w:space="0" w:color="auto"/>
                    <w:bottom w:val="none" w:sz="0" w:space="0" w:color="auto"/>
                    <w:right w:val="none" w:sz="0" w:space="0" w:color="auto"/>
                  </w:divBdr>
                  <w:divsChild>
                    <w:div w:id="284888752">
                      <w:marLeft w:val="0"/>
                      <w:marRight w:val="0"/>
                      <w:marTop w:val="0"/>
                      <w:marBottom w:val="0"/>
                      <w:divBdr>
                        <w:top w:val="none" w:sz="0" w:space="0" w:color="auto"/>
                        <w:left w:val="none" w:sz="0" w:space="0" w:color="auto"/>
                        <w:bottom w:val="none" w:sz="0" w:space="0" w:color="auto"/>
                        <w:right w:val="none" w:sz="0" w:space="0" w:color="auto"/>
                      </w:divBdr>
                    </w:div>
                  </w:divsChild>
                </w:div>
                <w:div w:id="1149133965">
                  <w:marLeft w:val="0"/>
                  <w:marRight w:val="0"/>
                  <w:marTop w:val="0"/>
                  <w:marBottom w:val="0"/>
                  <w:divBdr>
                    <w:top w:val="none" w:sz="0" w:space="0" w:color="auto"/>
                    <w:left w:val="none" w:sz="0" w:space="0" w:color="auto"/>
                    <w:bottom w:val="none" w:sz="0" w:space="0" w:color="auto"/>
                    <w:right w:val="none" w:sz="0" w:space="0" w:color="auto"/>
                  </w:divBdr>
                  <w:divsChild>
                    <w:div w:id="519664396">
                      <w:marLeft w:val="0"/>
                      <w:marRight w:val="0"/>
                      <w:marTop w:val="0"/>
                      <w:marBottom w:val="0"/>
                      <w:divBdr>
                        <w:top w:val="none" w:sz="0" w:space="0" w:color="auto"/>
                        <w:left w:val="none" w:sz="0" w:space="0" w:color="auto"/>
                        <w:bottom w:val="none" w:sz="0" w:space="0" w:color="auto"/>
                        <w:right w:val="none" w:sz="0" w:space="0" w:color="auto"/>
                      </w:divBdr>
                    </w:div>
                  </w:divsChild>
                </w:div>
                <w:div w:id="5847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6DB0-44DF-44DB-A19B-8F24E431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Lesa Robertson</cp:lastModifiedBy>
  <cp:revision>2</cp:revision>
  <dcterms:created xsi:type="dcterms:W3CDTF">2020-11-02T17:23:00Z</dcterms:created>
  <dcterms:modified xsi:type="dcterms:W3CDTF">2020-11-02T17:23:00Z</dcterms:modified>
</cp:coreProperties>
</file>