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C0" w:rsidRPr="00335C6E" w:rsidRDefault="00335C6E" w:rsidP="0058752A">
      <w:pPr>
        <w:jc w:val="both"/>
        <w:rPr>
          <w:rFonts w:ascii="Bookman Old Style" w:hAnsi="Bookman Old Style" w:cs="Arial"/>
          <w:b/>
          <w:sz w:val="26"/>
          <w:szCs w:val="26"/>
        </w:rPr>
      </w:pPr>
      <w:bookmarkStart w:id="0" w:name="_GoBack"/>
      <w:bookmarkEnd w:id="0"/>
      <w:r w:rsidRPr="00335C6E">
        <w:rPr>
          <w:rFonts w:ascii="Bookman Old Style" w:hAnsi="Bookman Old Style" w:cs="Arial"/>
          <w:b/>
          <w:sz w:val="26"/>
          <w:szCs w:val="26"/>
        </w:rPr>
        <w:t xml:space="preserve">10.06 </w:t>
      </w:r>
      <w:r w:rsidR="00813031">
        <w:rPr>
          <w:rFonts w:ascii="Bookman Old Style" w:hAnsi="Bookman Old Style" w:cs="Arial"/>
          <w:b/>
          <w:sz w:val="26"/>
          <w:szCs w:val="26"/>
        </w:rPr>
        <w:tab/>
      </w:r>
      <w:r w:rsidR="00607FC0" w:rsidRPr="00335C6E">
        <w:rPr>
          <w:rFonts w:ascii="Bookman Old Style" w:hAnsi="Bookman Old Style" w:cs="Arial"/>
          <w:b/>
          <w:sz w:val="26"/>
          <w:szCs w:val="26"/>
        </w:rPr>
        <w:t>L</w:t>
      </w:r>
      <w:r w:rsidRPr="00335C6E">
        <w:rPr>
          <w:rFonts w:ascii="Bookman Old Style" w:hAnsi="Bookman Old Style" w:cs="Arial"/>
          <w:b/>
          <w:sz w:val="26"/>
          <w:szCs w:val="26"/>
        </w:rPr>
        <w:t>IABILITY OF OFFICERS, DIRECTORS, OWNERS</w:t>
      </w:r>
    </w:p>
    <w:p w:rsidR="00607FC0" w:rsidRPr="00CC3C0D" w:rsidRDefault="00607FC0" w:rsidP="0058752A">
      <w:pPr>
        <w:jc w:val="both"/>
        <w:rPr>
          <w:rFonts w:ascii="Bookman Old Style" w:hAnsi="Bookman Old Style" w:cs="Arial"/>
          <w:sz w:val="26"/>
          <w:szCs w:val="26"/>
        </w:rPr>
      </w:pPr>
    </w:p>
    <w:p w:rsidR="00607FC0" w:rsidRPr="00CC3C0D" w:rsidRDefault="00607FC0" w:rsidP="0058752A">
      <w:pPr>
        <w:jc w:val="both"/>
        <w:rPr>
          <w:rFonts w:ascii="Bookman Old Style" w:hAnsi="Bookman Old Style" w:cs="Arial"/>
          <w:b/>
          <w:sz w:val="26"/>
          <w:szCs w:val="26"/>
        </w:rPr>
      </w:pPr>
    </w:p>
    <w:p w:rsidR="00607FC0" w:rsidRDefault="00607FC0" w:rsidP="00335C6E">
      <w:pPr>
        <w:spacing w:line="480" w:lineRule="auto"/>
        <w:jc w:val="both"/>
        <w:rPr>
          <w:rFonts w:ascii="Bookman Old Style" w:hAnsi="Bookman Old Style" w:cs="Arial"/>
          <w:sz w:val="26"/>
          <w:szCs w:val="26"/>
        </w:rPr>
      </w:pPr>
      <w:r w:rsidRPr="00CC3C0D">
        <w:rPr>
          <w:rFonts w:ascii="Bookman Old Style" w:hAnsi="Bookman Old Style" w:cs="Arial"/>
          <w:sz w:val="26"/>
          <w:szCs w:val="26"/>
        </w:rPr>
        <w:t xml:space="preserve">Plaintiff alleges </w:t>
      </w:r>
      <w:r w:rsidR="00372769" w:rsidRPr="00CC3C0D">
        <w:rPr>
          <w:rFonts w:ascii="Bookman Old Style" w:hAnsi="Bookman Old Style" w:cs="Arial"/>
          <w:sz w:val="26"/>
          <w:szCs w:val="26"/>
        </w:rPr>
        <w:t xml:space="preserve">that </w:t>
      </w:r>
      <w:r w:rsidRPr="00CC3C0D">
        <w:rPr>
          <w:rFonts w:ascii="Bookman Old Style" w:hAnsi="Bookman Old Style" w:cs="Arial"/>
          <w:sz w:val="26"/>
          <w:szCs w:val="26"/>
        </w:rPr>
        <w:t>[</w:t>
      </w:r>
      <w:r w:rsidR="00372769" w:rsidRPr="00CC3C0D">
        <w:rPr>
          <w:rFonts w:ascii="Bookman Old Style" w:hAnsi="Bookman Old Style" w:cs="Arial"/>
          <w:sz w:val="26"/>
          <w:szCs w:val="26"/>
        </w:rPr>
        <w:t>individual d</w:t>
      </w:r>
      <w:r w:rsidRPr="00CC3C0D">
        <w:rPr>
          <w:rFonts w:ascii="Bookman Old Style" w:hAnsi="Bookman Old Style" w:cs="Arial"/>
          <w:sz w:val="26"/>
          <w:szCs w:val="26"/>
        </w:rPr>
        <w:t xml:space="preserve">efendant] is </w:t>
      </w:r>
      <w:r w:rsidR="00E0113C" w:rsidRPr="00CC3C0D">
        <w:rPr>
          <w:rFonts w:ascii="Bookman Old Style" w:hAnsi="Bookman Old Style" w:cs="Arial"/>
          <w:sz w:val="26"/>
          <w:szCs w:val="26"/>
        </w:rPr>
        <w:t xml:space="preserve">personally </w:t>
      </w:r>
      <w:r w:rsidRPr="00CC3C0D">
        <w:rPr>
          <w:rFonts w:ascii="Bookman Old Style" w:hAnsi="Bookman Old Style" w:cs="Arial"/>
          <w:sz w:val="26"/>
          <w:szCs w:val="26"/>
        </w:rPr>
        <w:t xml:space="preserve">liable for plaintiff’s damages. </w:t>
      </w:r>
      <w:r w:rsidR="00335C6E">
        <w:rPr>
          <w:rFonts w:ascii="Bookman Old Style" w:hAnsi="Bookman Old Style" w:cs="Arial"/>
          <w:sz w:val="26"/>
          <w:szCs w:val="26"/>
        </w:rPr>
        <w:t xml:space="preserve"> </w:t>
      </w:r>
      <w:r w:rsidRPr="00CC3C0D">
        <w:rPr>
          <w:rFonts w:ascii="Bookman Old Style" w:hAnsi="Bookman Old Style" w:cs="Arial"/>
          <w:sz w:val="26"/>
          <w:szCs w:val="26"/>
        </w:rPr>
        <w:t>As the [</w:t>
      </w:r>
      <w:r w:rsidR="00456231" w:rsidRPr="00CC3C0D">
        <w:rPr>
          <w:rFonts w:ascii="Bookman Old Style" w:hAnsi="Bookman Old Style" w:cs="Arial"/>
          <w:sz w:val="26"/>
          <w:szCs w:val="26"/>
        </w:rPr>
        <w:t>o</w:t>
      </w:r>
      <w:r w:rsidRPr="00CC3C0D">
        <w:rPr>
          <w:rFonts w:ascii="Bookman Old Style" w:hAnsi="Bookman Old Style" w:cs="Arial"/>
          <w:sz w:val="26"/>
          <w:szCs w:val="26"/>
        </w:rPr>
        <w:t>fficer</w:t>
      </w:r>
      <w:r w:rsidR="00456231" w:rsidRPr="00CC3C0D">
        <w:rPr>
          <w:rFonts w:ascii="Bookman Old Style" w:hAnsi="Bookman Old Style" w:cs="Arial"/>
          <w:sz w:val="26"/>
          <w:szCs w:val="26"/>
        </w:rPr>
        <w:t>]</w:t>
      </w:r>
      <w:r w:rsidRPr="00CC3C0D">
        <w:rPr>
          <w:rFonts w:ascii="Bookman Old Style" w:hAnsi="Bookman Old Style" w:cs="Arial"/>
          <w:sz w:val="26"/>
          <w:szCs w:val="26"/>
        </w:rPr>
        <w:t xml:space="preserve"> </w:t>
      </w:r>
      <w:r w:rsidR="00456231" w:rsidRPr="00CC3C0D">
        <w:rPr>
          <w:rFonts w:ascii="Bookman Old Style" w:hAnsi="Bookman Old Style" w:cs="Arial"/>
          <w:sz w:val="26"/>
          <w:szCs w:val="26"/>
        </w:rPr>
        <w:t>[d</w:t>
      </w:r>
      <w:r w:rsidRPr="00CC3C0D">
        <w:rPr>
          <w:rFonts w:ascii="Bookman Old Style" w:hAnsi="Bookman Old Style" w:cs="Arial"/>
          <w:sz w:val="26"/>
          <w:szCs w:val="26"/>
        </w:rPr>
        <w:t>irector</w:t>
      </w:r>
      <w:r w:rsidR="00456231" w:rsidRPr="00CC3C0D">
        <w:rPr>
          <w:rFonts w:ascii="Bookman Old Style" w:hAnsi="Bookman Old Style" w:cs="Arial"/>
          <w:sz w:val="26"/>
          <w:szCs w:val="26"/>
        </w:rPr>
        <w:t>]</w:t>
      </w:r>
      <w:r w:rsidRPr="00CC3C0D">
        <w:rPr>
          <w:rFonts w:ascii="Bookman Old Style" w:hAnsi="Bookman Old Style" w:cs="Arial"/>
          <w:sz w:val="26"/>
          <w:szCs w:val="26"/>
        </w:rPr>
        <w:t xml:space="preserve"> </w:t>
      </w:r>
      <w:r w:rsidR="00456231" w:rsidRPr="00CC3C0D">
        <w:rPr>
          <w:rFonts w:ascii="Bookman Old Style" w:hAnsi="Bookman Old Style" w:cs="Arial"/>
          <w:sz w:val="26"/>
          <w:szCs w:val="26"/>
        </w:rPr>
        <w:t>[o</w:t>
      </w:r>
      <w:r w:rsidRPr="00CC3C0D">
        <w:rPr>
          <w:rFonts w:ascii="Bookman Old Style" w:hAnsi="Bookman Old Style" w:cs="Arial"/>
          <w:sz w:val="26"/>
          <w:szCs w:val="26"/>
        </w:rPr>
        <w:t>wner</w:t>
      </w:r>
      <w:r w:rsidR="00456231" w:rsidRPr="00CC3C0D">
        <w:rPr>
          <w:rFonts w:ascii="Bookman Old Style" w:hAnsi="Bookman Old Style" w:cs="Arial"/>
          <w:sz w:val="26"/>
          <w:szCs w:val="26"/>
        </w:rPr>
        <w:t>]</w:t>
      </w:r>
      <w:r w:rsidRPr="00CC3C0D">
        <w:rPr>
          <w:rFonts w:ascii="Bookman Old Style" w:hAnsi="Bookman Old Style" w:cs="Arial"/>
          <w:sz w:val="26"/>
          <w:szCs w:val="26"/>
        </w:rPr>
        <w:t xml:space="preserve"> of [</w:t>
      </w:r>
      <w:r w:rsidR="00372769" w:rsidRPr="00CC3C0D">
        <w:rPr>
          <w:rFonts w:ascii="Bookman Old Style" w:hAnsi="Bookman Old Style" w:cs="Arial"/>
          <w:sz w:val="26"/>
          <w:szCs w:val="26"/>
        </w:rPr>
        <w:t>corporate d</w:t>
      </w:r>
      <w:r w:rsidRPr="00CC3C0D">
        <w:rPr>
          <w:rFonts w:ascii="Bookman Old Style" w:hAnsi="Bookman Old Style" w:cs="Arial"/>
          <w:sz w:val="26"/>
          <w:szCs w:val="26"/>
        </w:rPr>
        <w:t>efendant], [</w:t>
      </w:r>
      <w:r w:rsidR="00372769" w:rsidRPr="00CC3C0D">
        <w:rPr>
          <w:rFonts w:ascii="Bookman Old Style" w:hAnsi="Bookman Old Style" w:cs="Arial"/>
          <w:sz w:val="26"/>
          <w:szCs w:val="26"/>
        </w:rPr>
        <w:t>individual d</w:t>
      </w:r>
      <w:r w:rsidRPr="00CC3C0D">
        <w:rPr>
          <w:rFonts w:ascii="Bookman Old Style" w:hAnsi="Bookman Old Style" w:cs="Arial"/>
          <w:sz w:val="26"/>
          <w:szCs w:val="26"/>
        </w:rPr>
        <w:t xml:space="preserve">efendant] </w:t>
      </w:r>
      <w:r w:rsidR="00372769" w:rsidRPr="00CC3C0D">
        <w:rPr>
          <w:rFonts w:ascii="Bookman Old Style" w:hAnsi="Bookman Old Style" w:cs="Arial"/>
          <w:sz w:val="26"/>
          <w:szCs w:val="26"/>
        </w:rPr>
        <w:t>is</w:t>
      </w:r>
      <w:r w:rsidRPr="00CC3C0D">
        <w:rPr>
          <w:rFonts w:ascii="Bookman Old Style" w:hAnsi="Bookman Old Style" w:cs="Arial"/>
          <w:sz w:val="26"/>
          <w:szCs w:val="26"/>
        </w:rPr>
        <w:t xml:space="preserve"> </w:t>
      </w:r>
      <w:r w:rsidR="00456231" w:rsidRPr="00CC3C0D">
        <w:rPr>
          <w:rFonts w:ascii="Bookman Old Style" w:hAnsi="Bookman Old Style" w:cs="Arial"/>
          <w:sz w:val="26"/>
          <w:szCs w:val="26"/>
        </w:rPr>
        <w:t xml:space="preserve">personally </w:t>
      </w:r>
      <w:r w:rsidRPr="00CC3C0D">
        <w:rPr>
          <w:rFonts w:ascii="Bookman Old Style" w:hAnsi="Bookman Old Style" w:cs="Arial"/>
          <w:sz w:val="26"/>
          <w:szCs w:val="26"/>
        </w:rPr>
        <w:t>liable for the plaintiff’s damages if you find it is more likely true than not true that:</w:t>
      </w:r>
    </w:p>
    <w:p w:rsidR="00335C6E" w:rsidRPr="00CC3C0D" w:rsidRDefault="00335C6E" w:rsidP="00335C6E">
      <w:pPr>
        <w:spacing w:line="480" w:lineRule="auto"/>
        <w:jc w:val="both"/>
        <w:rPr>
          <w:rFonts w:ascii="Bookman Old Style" w:hAnsi="Bookman Old Style" w:cs="Arial"/>
          <w:sz w:val="26"/>
          <w:szCs w:val="26"/>
        </w:rPr>
      </w:pPr>
    </w:p>
    <w:p w:rsidR="00607FC0" w:rsidRPr="00CC3C0D" w:rsidRDefault="00607FC0" w:rsidP="00335C6E">
      <w:pPr>
        <w:spacing w:line="480" w:lineRule="auto"/>
        <w:ind w:left="1440" w:hanging="720"/>
        <w:jc w:val="both"/>
        <w:rPr>
          <w:rFonts w:ascii="Bookman Old Style" w:hAnsi="Bookman Old Style" w:cs="Arial"/>
          <w:sz w:val="26"/>
          <w:szCs w:val="26"/>
        </w:rPr>
      </w:pPr>
      <w:r w:rsidRPr="00CC3C0D">
        <w:rPr>
          <w:rFonts w:ascii="Bookman Old Style" w:hAnsi="Bookman Old Style" w:cs="Arial"/>
          <w:sz w:val="26"/>
          <w:szCs w:val="26"/>
        </w:rPr>
        <w:t>1.</w:t>
      </w:r>
      <w:r w:rsidRPr="00CC3C0D">
        <w:rPr>
          <w:rFonts w:ascii="Bookman Old Style" w:hAnsi="Bookman Old Style" w:cs="Arial"/>
          <w:sz w:val="26"/>
          <w:szCs w:val="26"/>
        </w:rPr>
        <w:tab/>
        <w:t>[</w:t>
      </w:r>
      <w:r w:rsidR="00372769" w:rsidRPr="00CC3C0D">
        <w:rPr>
          <w:rFonts w:ascii="Bookman Old Style" w:hAnsi="Bookman Old Style" w:cs="Arial"/>
          <w:sz w:val="26"/>
          <w:szCs w:val="26"/>
        </w:rPr>
        <w:t>Corporate d</w:t>
      </w:r>
      <w:r w:rsidRPr="00CC3C0D">
        <w:rPr>
          <w:rFonts w:ascii="Bookman Old Style" w:hAnsi="Bookman Old Style" w:cs="Arial"/>
          <w:sz w:val="26"/>
          <w:szCs w:val="26"/>
        </w:rPr>
        <w:t xml:space="preserve">efendant] </w:t>
      </w:r>
      <w:r w:rsidR="00456231" w:rsidRPr="00CC3C0D">
        <w:rPr>
          <w:rFonts w:ascii="Bookman Old Style" w:hAnsi="Bookman Old Style" w:cs="Arial"/>
          <w:sz w:val="26"/>
          <w:szCs w:val="26"/>
        </w:rPr>
        <w:t>committed an unfair or deceptive act or practice</w:t>
      </w:r>
      <w:r w:rsidRPr="00CC3C0D">
        <w:rPr>
          <w:rFonts w:ascii="Bookman Old Style" w:hAnsi="Bookman Old Style" w:cs="Arial"/>
          <w:sz w:val="26"/>
          <w:szCs w:val="26"/>
        </w:rPr>
        <w:t>; and</w:t>
      </w:r>
    </w:p>
    <w:p w:rsidR="00607FC0" w:rsidRPr="00CC3C0D" w:rsidRDefault="00607FC0" w:rsidP="00335C6E">
      <w:pPr>
        <w:spacing w:line="480" w:lineRule="auto"/>
        <w:ind w:left="1440" w:hanging="1440"/>
        <w:jc w:val="both"/>
        <w:rPr>
          <w:rFonts w:ascii="Bookman Old Style" w:hAnsi="Bookman Old Style" w:cs="Arial"/>
          <w:sz w:val="26"/>
          <w:szCs w:val="26"/>
        </w:rPr>
      </w:pPr>
      <w:r w:rsidRPr="00CC3C0D">
        <w:rPr>
          <w:rFonts w:ascii="Bookman Old Style" w:hAnsi="Bookman Old Style" w:cs="Arial"/>
          <w:sz w:val="26"/>
          <w:szCs w:val="26"/>
        </w:rPr>
        <w:tab/>
        <w:t>2.</w:t>
      </w:r>
      <w:r w:rsidRPr="00CC3C0D">
        <w:rPr>
          <w:rFonts w:ascii="Bookman Old Style" w:hAnsi="Bookman Old Style" w:cs="Arial"/>
          <w:sz w:val="26"/>
          <w:szCs w:val="26"/>
        </w:rPr>
        <w:tab/>
        <w:t>[</w:t>
      </w:r>
      <w:r w:rsidR="00372769" w:rsidRPr="00CC3C0D">
        <w:rPr>
          <w:rFonts w:ascii="Bookman Old Style" w:hAnsi="Bookman Old Style" w:cs="Arial"/>
          <w:sz w:val="26"/>
          <w:szCs w:val="26"/>
        </w:rPr>
        <w:t>Individual d</w:t>
      </w:r>
      <w:r w:rsidRPr="00CC3C0D">
        <w:rPr>
          <w:rFonts w:ascii="Bookman Old Style" w:hAnsi="Bookman Old Style" w:cs="Arial"/>
          <w:sz w:val="26"/>
          <w:szCs w:val="26"/>
        </w:rPr>
        <w:t xml:space="preserve">efendant] had authority to control </w:t>
      </w:r>
      <w:r w:rsidR="00E0113C" w:rsidRPr="00CC3C0D">
        <w:rPr>
          <w:rFonts w:ascii="Bookman Old Style" w:hAnsi="Bookman Old Style" w:cs="Arial"/>
          <w:sz w:val="26"/>
          <w:szCs w:val="26"/>
        </w:rPr>
        <w:t>the act</w:t>
      </w:r>
      <w:r w:rsidR="00E97698" w:rsidRPr="00CC3C0D">
        <w:rPr>
          <w:rFonts w:ascii="Bookman Old Style" w:hAnsi="Bookman Old Style" w:cs="Arial"/>
          <w:sz w:val="26"/>
          <w:szCs w:val="26"/>
        </w:rPr>
        <w:t xml:space="preserve"> or practi</w:t>
      </w:r>
      <w:r w:rsidR="00E0113C" w:rsidRPr="00CC3C0D">
        <w:rPr>
          <w:rFonts w:ascii="Bookman Old Style" w:hAnsi="Bookman Old Style" w:cs="Arial"/>
          <w:sz w:val="26"/>
          <w:szCs w:val="26"/>
        </w:rPr>
        <w:t>ce</w:t>
      </w:r>
      <w:r w:rsidRPr="00CC3C0D">
        <w:rPr>
          <w:rFonts w:ascii="Bookman Old Style" w:hAnsi="Bookman Old Style" w:cs="Arial"/>
          <w:sz w:val="26"/>
          <w:szCs w:val="26"/>
        </w:rPr>
        <w:t>; and</w:t>
      </w:r>
    </w:p>
    <w:p w:rsidR="00607FC0" w:rsidRDefault="00607FC0" w:rsidP="00335C6E">
      <w:pPr>
        <w:spacing w:line="480" w:lineRule="auto"/>
        <w:ind w:left="1440" w:hanging="1440"/>
        <w:jc w:val="both"/>
        <w:rPr>
          <w:rFonts w:ascii="Bookman Old Style" w:hAnsi="Bookman Old Style" w:cs="Arial"/>
          <w:sz w:val="26"/>
          <w:szCs w:val="26"/>
        </w:rPr>
      </w:pPr>
      <w:r w:rsidRPr="00CC3C0D">
        <w:rPr>
          <w:rFonts w:ascii="Bookman Old Style" w:hAnsi="Bookman Old Style" w:cs="Arial"/>
          <w:sz w:val="26"/>
          <w:szCs w:val="26"/>
        </w:rPr>
        <w:tab/>
        <w:t>3.</w:t>
      </w:r>
      <w:r w:rsidRPr="00CC3C0D">
        <w:rPr>
          <w:rFonts w:ascii="Bookman Old Style" w:hAnsi="Bookman Old Style" w:cs="Arial"/>
          <w:sz w:val="26"/>
          <w:szCs w:val="26"/>
        </w:rPr>
        <w:tab/>
        <w:t>[</w:t>
      </w:r>
      <w:r w:rsidR="00372769" w:rsidRPr="00CC3C0D">
        <w:rPr>
          <w:rFonts w:ascii="Bookman Old Style" w:hAnsi="Bookman Old Style" w:cs="Arial"/>
          <w:sz w:val="26"/>
          <w:szCs w:val="26"/>
        </w:rPr>
        <w:t>Individual d</w:t>
      </w:r>
      <w:r w:rsidRPr="00CC3C0D">
        <w:rPr>
          <w:rFonts w:ascii="Bookman Old Style" w:hAnsi="Bookman Old Style" w:cs="Arial"/>
          <w:sz w:val="26"/>
          <w:szCs w:val="26"/>
        </w:rPr>
        <w:t xml:space="preserve">efendant] </w:t>
      </w:r>
    </w:p>
    <w:p w:rsidR="00607FC0" w:rsidRDefault="00607FC0" w:rsidP="00C8120D">
      <w:pPr>
        <w:spacing w:line="480" w:lineRule="auto"/>
        <w:ind w:left="2160" w:hanging="720"/>
        <w:jc w:val="both"/>
        <w:rPr>
          <w:rFonts w:ascii="Bookman Old Style" w:hAnsi="Bookman Old Style" w:cs="Arial"/>
          <w:sz w:val="26"/>
          <w:szCs w:val="26"/>
          <w:u w:val="single"/>
        </w:rPr>
      </w:pPr>
      <w:r w:rsidRPr="00CC3C0D">
        <w:rPr>
          <w:rFonts w:ascii="Bookman Old Style" w:hAnsi="Bookman Old Style" w:cs="Arial"/>
          <w:sz w:val="26"/>
          <w:szCs w:val="26"/>
        </w:rPr>
        <w:t xml:space="preserve">(A) </w:t>
      </w:r>
      <w:r w:rsidR="00813031">
        <w:rPr>
          <w:rFonts w:ascii="Bookman Old Style" w:hAnsi="Bookman Old Style" w:cs="Arial"/>
          <w:sz w:val="26"/>
          <w:szCs w:val="26"/>
        </w:rPr>
        <w:tab/>
      </w:r>
      <w:r w:rsidR="006E08CD" w:rsidRPr="00CC3C0D">
        <w:rPr>
          <w:rFonts w:ascii="Bookman Old Style" w:hAnsi="Bookman Old Style" w:cs="Arial"/>
          <w:sz w:val="26"/>
          <w:szCs w:val="26"/>
        </w:rPr>
        <w:t xml:space="preserve">had </w:t>
      </w:r>
      <w:r w:rsidRPr="00CC3C0D">
        <w:rPr>
          <w:rFonts w:ascii="Bookman Old Style" w:hAnsi="Bookman Old Style" w:cs="Arial"/>
          <w:sz w:val="26"/>
          <w:szCs w:val="26"/>
        </w:rPr>
        <w:t>actual knowledge that [</w:t>
      </w:r>
      <w:r w:rsidR="00372769" w:rsidRPr="00CC3C0D">
        <w:rPr>
          <w:rFonts w:ascii="Bookman Old Style" w:hAnsi="Bookman Old Style" w:cs="Arial"/>
          <w:sz w:val="26"/>
          <w:szCs w:val="26"/>
        </w:rPr>
        <w:t>corporate d</w:t>
      </w:r>
      <w:r w:rsidRPr="00CC3C0D">
        <w:rPr>
          <w:rFonts w:ascii="Bookman Old Style" w:hAnsi="Bookman Old Style" w:cs="Arial"/>
          <w:sz w:val="26"/>
          <w:szCs w:val="26"/>
        </w:rPr>
        <w:t>efendant] or one of its agents</w:t>
      </w:r>
      <w:r w:rsidR="00372769" w:rsidRPr="00CC3C0D">
        <w:rPr>
          <w:rFonts w:ascii="Bookman Old Style" w:hAnsi="Bookman Old Style" w:cs="Arial"/>
          <w:sz w:val="26"/>
          <w:szCs w:val="26"/>
        </w:rPr>
        <w:t xml:space="preserve"> or employees</w:t>
      </w:r>
      <w:r w:rsidRPr="00CC3C0D">
        <w:rPr>
          <w:rFonts w:ascii="Bookman Old Style" w:hAnsi="Bookman Old Style" w:cs="Arial"/>
          <w:sz w:val="26"/>
          <w:szCs w:val="26"/>
        </w:rPr>
        <w:t xml:space="preserve"> engaged in </w:t>
      </w:r>
      <w:r w:rsidR="00E97698" w:rsidRPr="00CC3C0D">
        <w:rPr>
          <w:rFonts w:ascii="Bookman Old Style" w:hAnsi="Bookman Old Style" w:cs="Arial"/>
          <w:sz w:val="26"/>
          <w:szCs w:val="26"/>
        </w:rPr>
        <w:t>the unfair or deceptive act or practice</w:t>
      </w:r>
      <w:r w:rsidRPr="00CC3C0D">
        <w:rPr>
          <w:rFonts w:ascii="Bookman Old Style" w:hAnsi="Bookman Old Style" w:cs="Arial"/>
          <w:sz w:val="26"/>
          <w:szCs w:val="26"/>
        </w:rPr>
        <w:t xml:space="preserve">; </w:t>
      </w:r>
      <w:r w:rsidRPr="00CC3C0D">
        <w:rPr>
          <w:rFonts w:ascii="Bookman Old Style" w:hAnsi="Bookman Old Style" w:cs="Arial"/>
          <w:sz w:val="26"/>
          <w:szCs w:val="26"/>
          <w:u w:val="single"/>
        </w:rPr>
        <w:t>or</w:t>
      </w:r>
    </w:p>
    <w:p w:rsidR="00607FC0" w:rsidRPr="00CC3C0D" w:rsidRDefault="00607FC0" w:rsidP="00C8120D">
      <w:pPr>
        <w:spacing w:line="480" w:lineRule="auto"/>
        <w:ind w:left="2160" w:hanging="720"/>
        <w:jc w:val="both"/>
        <w:rPr>
          <w:rFonts w:ascii="Bookman Old Style" w:hAnsi="Bookman Old Style" w:cs="Arial"/>
          <w:sz w:val="26"/>
          <w:szCs w:val="26"/>
        </w:rPr>
      </w:pPr>
      <w:r w:rsidRPr="00CC3C0D">
        <w:rPr>
          <w:rFonts w:ascii="Bookman Old Style" w:hAnsi="Bookman Old Style" w:cs="Arial"/>
          <w:sz w:val="26"/>
          <w:szCs w:val="26"/>
        </w:rPr>
        <w:t xml:space="preserve">(B) </w:t>
      </w:r>
      <w:r w:rsidR="00813031">
        <w:rPr>
          <w:rFonts w:ascii="Bookman Old Style" w:hAnsi="Bookman Old Style" w:cs="Arial"/>
          <w:sz w:val="26"/>
          <w:szCs w:val="26"/>
        </w:rPr>
        <w:tab/>
      </w:r>
      <w:r w:rsidRPr="00CC3C0D">
        <w:rPr>
          <w:rFonts w:ascii="Bookman Old Style" w:hAnsi="Bookman Old Style" w:cs="Arial"/>
          <w:sz w:val="26"/>
          <w:szCs w:val="26"/>
        </w:rPr>
        <w:t xml:space="preserve">was recklessly indifferent to </w:t>
      </w:r>
      <w:r w:rsidR="00E97698" w:rsidRPr="00CC3C0D">
        <w:rPr>
          <w:rFonts w:ascii="Bookman Old Style" w:hAnsi="Bookman Old Style" w:cs="Arial"/>
          <w:sz w:val="26"/>
          <w:szCs w:val="26"/>
        </w:rPr>
        <w:t xml:space="preserve">whether [corporate defendant]’s agents or employees were committing </w:t>
      </w:r>
      <w:r w:rsidR="00E0113C" w:rsidRPr="00CC3C0D">
        <w:rPr>
          <w:rFonts w:ascii="Bookman Old Style" w:hAnsi="Bookman Old Style" w:cs="Arial"/>
          <w:sz w:val="26"/>
          <w:szCs w:val="26"/>
        </w:rPr>
        <w:t>an unfair or deceptive act or practice</w:t>
      </w:r>
      <w:r w:rsidRPr="00CC3C0D">
        <w:rPr>
          <w:rFonts w:ascii="Bookman Old Style" w:hAnsi="Bookman Old Style" w:cs="Arial"/>
          <w:sz w:val="26"/>
          <w:szCs w:val="26"/>
        </w:rPr>
        <w:t xml:space="preserve">; </w:t>
      </w:r>
      <w:r w:rsidRPr="00CC3C0D">
        <w:rPr>
          <w:rFonts w:ascii="Bookman Old Style" w:hAnsi="Bookman Old Style" w:cs="Arial"/>
          <w:sz w:val="26"/>
          <w:szCs w:val="26"/>
          <w:u w:val="single"/>
        </w:rPr>
        <w:t>or</w:t>
      </w:r>
    </w:p>
    <w:p w:rsidR="00607FC0" w:rsidRPr="00CC3C0D" w:rsidRDefault="00607FC0" w:rsidP="00C8120D">
      <w:pPr>
        <w:spacing w:line="480" w:lineRule="auto"/>
        <w:ind w:left="2160" w:hanging="720"/>
        <w:jc w:val="both"/>
        <w:rPr>
          <w:rFonts w:ascii="Bookman Old Style" w:hAnsi="Bookman Old Style" w:cs="Arial"/>
          <w:sz w:val="26"/>
          <w:szCs w:val="26"/>
        </w:rPr>
      </w:pPr>
      <w:r w:rsidRPr="00CC3C0D">
        <w:rPr>
          <w:rFonts w:ascii="Bookman Old Style" w:hAnsi="Bookman Old Style" w:cs="Arial"/>
          <w:sz w:val="26"/>
          <w:szCs w:val="26"/>
        </w:rPr>
        <w:t xml:space="preserve">(C) </w:t>
      </w:r>
      <w:r w:rsidR="00813031">
        <w:rPr>
          <w:rFonts w:ascii="Bookman Old Style" w:hAnsi="Bookman Old Style" w:cs="Arial"/>
          <w:sz w:val="26"/>
          <w:szCs w:val="26"/>
        </w:rPr>
        <w:tab/>
      </w:r>
      <w:r w:rsidR="00E97698" w:rsidRPr="00CC3C0D">
        <w:rPr>
          <w:rFonts w:ascii="Bookman Old Style" w:hAnsi="Bookman Old Style" w:cs="Arial"/>
          <w:sz w:val="26"/>
          <w:szCs w:val="26"/>
        </w:rPr>
        <w:t>knew it was highly probable that</w:t>
      </w:r>
      <w:r w:rsidR="00C8120D">
        <w:rPr>
          <w:rFonts w:ascii="Bookman Old Style" w:hAnsi="Bookman Old Style" w:cs="Arial"/>
          <w:sz w:val="26"/>
          <w:szCs w:val="26"/>
        </w:rPr>
        <w:t xml:space="preserve"> [</w:t>
      </w:r>
      <w:r w:rsidR="00E97698" w:rsidRPr="00CC3C0D">
        <w:rPr>
          <w:rFonts w:ascii="Bookman Old Style" w:hAnsi="Bookman Old Style" w:cs="Arial"/>
          <w:sz w:val="26"/>
          <w:szCs w:val="26"/>
        </w:rPr>
        <w:t xml:space="preserve">corporate defendant]’s agents or employees were committing </w:t>
      </w:r>
      <w:r w:rsidR="00E0113C" w:rsidRPr="00CC3C0D">
        <w:rPr>
          <w:rFonts w:ascii="Bookman Old Style" w:hAnsi="Bookman Old Style" w:cs="Arial"/>
          <w:sz w:val="26"/>
          <w:szCs w:val="26"/>
        </w:rPr>
        <w:t>an unfair or deceptive act or practice</w:t>
      </w:r>
      <w:r w:rsidR="00E97698" w:rsidRPr="00CC3C0D">
        <w:rPr>
          <w:rFonts w:ascii="Bookman Old Style" w:hAnsi="Bookman Old Style" w:cs="Arial"/>
          <w:sz w:val="26"/>
          <w:szCs w:val="26"/>
        </w:rPr>
        <w:t xml:space="preserve"> and intentionally avoided the truth</w:t>
      </w:r>
      <w:r w:rsidRPr="00CC3C0D">
        <w:rPr>
          <w:rFonts w:ascii="Bookman Old Style" w:hAnsi="Bookman Old Style" w:cs="Arial"/>
          <w:sz w:val="26"/>
          <w:szCs w:val="26"/>
        </w:rPr>
        <w:t>.</w:t>
      </w:r>
    </w:p>
    <w:p w:rsidR="00607FC0" w:rsidRPr="00CC3C0D" w:rsidRDefault="00607FC0" w:rsidP="00335C6E">
      <w:pPr>
        <w:spacing w:line="480" w:lineRule="auto"/>
        <w:jc w:val="both"/>
        <w:rPr>
          <w:rFonts w:ascii="Bookman Old Style" w:hAnsi="Bookman Old Style" w:cs="Arial"/>
          <w:sz w:val="26"/>
          <w:szCs w:val="26"/>
        </w:rPr>
      </w:pPr>
      <w:r w:rsidRPr="00CC3C0D">
        <w:rPr>
          <w:rFonts w:ascii="Bookman Old Style" w:hAnsi="Bookman Old Style" w:cs="Arial"/>
          <w:sz w:val="26"/>
          <w:szCs w:val="26"/>
        </w:rPr>
        <w:lastRenderedPageBreak/>
        <w:t>If you find it is more likely true than not true that all three of these factors were present, then [</w:t>
      </w:r>
      <w:r w:rsidR="00E97698" w:rsidRPr="00CC3C0D">
        <w:rPr>
          <w:rFonts w:ascii="Bookman Old Style" w:hAnsi="Bookman Old Style" w:cs="Arial"/>
          <w:sz w:val="26"/>
          <w:szCs w:val="26"/>
        </w:rPr>
        <w:t>individual d</w:t>
      </w:r>
      <w:r w:rsidRPr="00CC3C0D">
        <w:rPr>
          <w:rFonts w:ascii="Bookman Old Style" w:hAnsi="Bookman Old Style" w:cs="Arial"/>
          <w:sz w:val="26"/>
          <w:szCs w:val="26"/>
        </w:rPr>
        <w:t>efendant] can be held personally liable for plaintiff’s damages.</w:t>
      </w:r>
    </w:p>
    <w:p w:rsidR="00607FC0" w:rsidRPr="00CC3C0D" w:rsidRDefault="00607FC0" w:rsidP="0058752A">
      <w:pPr>
        <w:ind w:left="1440" w:hanging="1440"/>
        <w:jc w:val="both"/>
        <w:rPr>
          <w:rFonts w:ascii="Bookman Old Style" w:hAnsi="Bookman Old Style" w:cs="Arial"/>
          <w:sz w:val="26"/>
          <w:szCs w:val="26"/>
        </w:rPr>
      </w:pPr>
    </w:p>
    <w:p w:rsidR="00607FC0" w:rsidRPr="00CC3C0D" w:rsidRDefault="00607FC0" w:rsidP="0058752A">
      <w:pPr>
        <w:ind w:left="1440" w:hanging="720"/>
        <w:jc w:val="both"/>
        <w:rPr>
          <w:rFonts w:ascii="Bookman Old Style" w:hAnsi="Bookman Old Style" w:cs="Arial"/>
          <w:b/>
          <w:sz w:val="26"/>
          <w:szCs w:val="26"/>
          <w:u w:val="single"/>
        </w:rPr>
      </w:pPr>
      <w:r w:rsidRPr="00CC3C0D">
        <w:rPr>
          <w:rFonts w:ascii="Bookman Old Style" w:hAnsi="Bookman Old Style" w:cs="Arial"/>
          <w:sz w:val="26"/>
          <w:szCs w:val="26"/>
        </w:rPr>
        <w:tab/>
      </w:r>
    </w:p>
    <w:p w:rsidR="00607FC0" w:rsidRPr="00335C6E" w:rsidRDefault="00607FC0" w:rsidP="00335C6E">
      <w:pPr>
        <w:spacing w:line="480" w:lineRule="auto"/>
        <w:ind w:left="-90" w:firstLine="90"/>
        <w:jc w:val="center"/>
        <w:rPr>
          <w:rFonts w:ascii="Bookman Old Style" w:hAnsi="Bookman Old Style" w:cs="Arial"/>
          <w:sz w:val="26"/>
          <w:szCs w:val="26"/>
          <w:u w:val="single"/>
        </w:rPr>
      </w:pPr>
      <w:r w:rsidRPr="00335C6E">
        <w:rPr>
          <w:rFonts w:ascii="Bookman Old Style" w:hAnsi="Bookman Old Style" w:cs="Arial"/>
          <w:sz w:val="26"/>
          <w:szCs w:val="26"/>
          <w:u w:val="single"/>
        </w:rPr>
        <w:t>Comment</w:t>
      </w:r>
    </w:p>
    <w:p w:rsidR="00607FC0" w:rsidRPr="00CC3C0D" w:rsidRDefault="00607FC0" w:rsidP="00335C6E">
      <w:pPr>
        <w:ind w:left="-90"/>
        <w:jc w:val="both"/>
        <w:rPr>
          <w:rFonts w:ascii="Bookman Old Style" w:hAnsi="Bookman Old Style" w:cs="Arial"/>
          <w:sz w:val="26"/>
          <w:szCs w:val="26"/>
        </w:rPr>
      </w:pPr>
      <w:r w:rsidRPr="00CC3C0D">
        <w:rPr>
          <w:rFonts w:ascii="Bookman Old Style" w:hAnsi="Bookman Old Style" w:cs="Arial"/>
          <w:sz w:val="26"/>
          <w:szCs w:val="26"/>
        </w:rPr>
        <w:t xml:space="preserve">This instruction comes directly from </w:t>
      </w:r>
      <w:r w:rsidRPr="00CC3C0D">
        <w:rPr>
          <w:rFonts w:ascii="Bookman Old Style" w:hAnsi="Bookman Old Style" w:cs="Arial"/>
          <w:i/>
          <w:sz w:val="26"/>
          <w:szCs w:val="26"/>
        </w:rPr>
        <w:t>Federal Trade Commission v. Publishing Clearing House, Inc.</w:t>
      </w:r>
      <w:r w:rsidRPr="00CC3C0D">
        <w:rPr>
          <w:rFonts w:ascii="Bookman Old Style" w:hAnsi="Bookman Old Style" w:cs="Arial"/>
          <w:sz w:val="26"/>
          <w:szCs w:val="26"/>
        </w:rPr>
        <w:t>, 104 F.3d 1168, 1170-71 (9</w:t>
      </w:r>
      <w:r w:rsidRPr="00CC3C0D">
        <w:rPr>
          <w:rFonts w:ascii="Bookman Old Style" w:hAnsi="Bookman Old Style" w:cs="Arial"/>
          <w:sz w:val="26"/>
          <w:szCs w:val="26"/>
          <w:vertAlign w:val="superscript"/>
        </w:rPr>
        <w:t>th</w:t>
      </w:r>
      <w:r w:rsidRPr="00CC3C0D">
        <w:rPr>
          <w:rFonts w:ascii="Bookman Old Style" w:hAnsi="Bookman Old Style" w:cs="Arial"/>
          <w:sz w:val="26"/>
          <w:szCs w:val="26"/>
        </w:rPr>
        <w:t xml:space="preserve"> Cir. 1997), citing </w:t>
      </w:r>
      <w:r w:rsidRPr="00CC3C0D">
        <w:rPr>
          <w:rFonts w:ascii="Bookman Old Style" w:hAnsi="Bookman Old Style" w:cs="Arial"/>
          <w:i/>
          <w:sz w:val="26"/>
          <w:szCs w:val="26"/>
        </w:rPr>
        <w:t>FTC v. America</w:t>
      </w:r>
      <w:r w:rsidR="00E0113C" w:rsidRPr="00CC3C0D">
        <w:rPr>
          <w:rFonts w:ascii="Bookman Old Style" w:hAnsi="Bookman Old Style" w:cs="Arial"/>
          <w:i/>
          <w:sz w:val="26"/>
          <w:szCs w:val="26"/>
        </w:rPr>
        <w:t>n</w:t>
      </w:r>
      <w:r w:rsidRPr="00CC3C0D">
        <w:rPr>
          <w:rFonts w:ascii="Bookman Old Style" w:hAnsi="Bookman Old Style" w:cs="Arial"/>
          <w:i/>
          <w:sz w:val="26"/>
          <w:szCs w:val="26"/>
        </w:rPr>
        <w:t xml:space="preserve"> Standard Credit Systems, Inc.</w:t>
      </w:r>
      <w:r w:rsidRPr="00CC3C0D">
        <w:rPr>
          <w:rFonts w:ascii="Bookman Old Style" w:hAnsi="Bookman Old Style" w:cs="Arial"/>
          <w:sz w:val="26"/>
          <w:szCs w:val="26"/>
        </w:rPr>
        <w:t xml:space="preserve">, 874 F. Supp. 1080, 1087 (C.D. Cal. 1994).  Because </w:t>
      </w:r>
      <w:smartTag w:uri="urn:schemas-microsoft-com:office:smarttags" w:element="State">
        <w:smartTag w:uri="urn:schemas-microsoft-com:office:smarttags" w:element="place">
          <w:r w:rsidRPr="00CC3C0D">
            <w:rPr>
              <w:rFonts w:ascii="Bookman Old Style" w:hAnsi="Bookman Old Style" w:cs="Arial"/>
              <w:sz w:val="26"/>
              <w:szCs w:val="26"/>
            </w:rPr>
            <w:t>Alaska</w:t>
          </w:r>
        </w:smartTag>
      </w:smartTag>
      <w:r w:rsidRPr="00CC3C0D">
        <w:rPr>
          <w:rFonts w:ascii="Bookman Old Style" w:hAnsi="Bookman Old Style" w:cs="Arial"/>
          <w:sz w:val="26"/>
          <w:szCs w:val="26"/>
        </w:rPr>
        <w:t>’s consumer protection act directs courts to follow FTC guidance, it is likely that this test will be followed for finding personal liability of officers and directors in a consumer protection context.  AS 45.50.545.  Generally, courts take a flexible view of what type of participation is necessary to hold an officer or director personally liable under state consumer protection statutes.  Under most states</w:t>
      </w:r>
      <w:r w:rsidR="00E0113C" w:rsidRPr="00CC3C0D">
        <w:rPr>
          <w:rFonts w:ascii="Bookman Old Style" w:hAnsi="Bookman Old Style" w:cs="Arial"/>
          <w:sz w:val="26"/>
          <w:szCs w:val="26"/>
        </w:rPr>
        <w:t>’</w:t>
      </w:r>
      <w:r w:rsidRPr="00CC3C0D">
        <w:rPr>
          <w:rFonts w:ascii="Bookman Old Style" w:hAnsi="Bookman Old Style" w:cs="Arial"/>
          <w:sz w:val="26"/>
          <w:szCs w:val="26"/>
        </w:rPr>
        <w:t xml:space="preserve"> consumer protection statutes, officers, directors, owners, and parent companies are liable, just as corporate agents, to the extent they are directly involved in perpetrating the act or practice.  </w:t>
      </w:r>
      <w:r w:rsidRPr="00CC3C0D">
        <w:rPr>
          <w:rFonts w:ascii="Bookman Old Style" w:hAnsi="Bookman Old Style" w:cs="Arial"/>
          <w:i/>
          <w:sz w:val="26"/>
          <w:szCs w:val="26"/>
        </w:rPr>
        <w:t>See, e.g.</w:t>
      </w:r>
      <w:r w:rsidRPr="00CC3C0D">
        <w:rPr>
          <w:rFonts w:ascii="Bookman Old Style" w:hAnsi="Bookman Old Style" w:cs="Arial"/>
          <w:sz w:val="26"/>
          <w:szCs w:val="26"/>
        </w:rPr>
        <w:t xml:space="preserve">,   </w:t>
      </w:r>
      <w:r w:rsidRPr="00CC3C0D">
        <w:rPr>
          <w:rFonts w:ascii="Bookman Old Style" w:hAnsi="Bookman Old Style" w:cs="Arial"/>
          <w:i/>
          <w:sz w:val="26"/>
          <w:szCs w:val="26"/>
        </w:rPr>
        <w:t>FTC v. Gem Merchandising Corp.</w:t>
      </w:r>
      <w:r w:rsidRPr="00CC3C0D">
        <w:rPr>
          <w:rFonts w:ascii="Bookman Old Style" w:hAnsi="Bookman Old Style" w:cs="Arial"/>
          <w:sz w:val="26"/>
          <w:szCs w:val="26"/>
        </w:rPr>
        <w:t>, 87 F.3d 466 (8</w:t>
      </w:r>
      <w:r w:rsidRPr="00CC3C0D">
        <w:rPr>
          <w:rFonts w:ascii="Bookman Old Style" w:hAnsi="Bookman Old Style" w:cs="Arial"/>
          <w:sz w:val="26"/>
          <w:szCs w:val="26"/>
          <w:vertAlign w:val="superscript"/>
        </w:rPr>
        <w:t>th</w:t>
      </w:r>
      <w:r w:rsidRPr="00CC3C0D">
        <w:rPr>
          <w:rFonts w:ascii="Bookman Old Style" w:hAnsi="Bookman Old Style" w:cs="Arial"/>
          <w:sz w:val="26"/>
          <w:szCs w:val="26"/>
        </w:rPr>
        <w:t xml:space="preserve"> Cir. 1996); </w:t>
      </w:r>
      <w:r w:rsidRPr="00CC3C0D">
        <w:rPr>
          <w:rFonts w:ascii="Bookman Old Style" w:hAnsi="Bookman Old Style" w:cs="Arial"/>
          <w:i/>
          <w:sz w:val="26"/>
          <w:szCs w:val="26"/>
        </w:rPr>
        <w:t>Knapp v. Americredit Fin. Servs. Inc.</w:t>
      </w:r>
      <w:r w:rsidRPr="00CC3C0D">
        <w:rPr>
          <w:rFonts w:ascii="Bookman Old Style" w:hAnsi="Bookman Old Style" w:cs="Arial"/>
          <w:sz w:val="26"/>
          <w:szCs w:val="26"/>
        </w:rPr>
        <w:t xml:space="preserve">, 245 F. Supp. 2d 841 (S.D. </w:t>
      </w:r>
      <w:smartTag w:uri="urn:schemas-microsoft-com:office:smarttags" w:element="place">
        <w:r w:rsidRPr="00CC3C0D">
          <w:rPr>
            <w:rFonts w:ascii="Bookman Old Style" w:hAnsi="Bookman Old Style" w:cs="Arial"/>
            <w:sz w:val="26"/>
            <w:szCs w:val="26"/>
          </w:rPr>
          <w:t>W. Va.</w:t>
        </w:r>
      </w:smartTag>
      <w:r w:rsidRPr="00CC3C0D">
        <w:rPr>
          <w:rFonts w:ascii="Bookman Old Style" w:hAnsi="Bookman Old Style" w:cs="Arial"/>
          <w:sz w:val="26"/>
          <w:szCs w:val="26"/>
        </w:rPr>
        <w:t xml:space="preserve"> 2003); </w:t>
      </w:r>
      <w:r w:rsidRPr="00CC3C0D">
        <w:rPr>
          <w:rFonts w:ascii="Bookman Old Style" w:hAnsi="Bookman Old Style" w:cs="Arial"/>
          <w:i/>
          <w:sz w:val="26"/>
          <w:szCs w:val="26"/>
        </w:rPr>
        <w:t>Meyer v. Dygert</w:t>
      </w:r>
      <w:r w:rsidRPr="00CC3C0D">
        <w:rPr>
          <w:rFonts w:ascii="Bookman Old Style" w:hAnsi="Bookman Old Style" w:cs="Arial"/>
          <w:sz w:val="26"/>
          <w:szCs w:val="26"/>
        </w:rPr>
        <w:t xml:space="preserve">, 156 F. Supp. 2d 1081 (D. </w:t>
      </w:r>
      <w:smartTag w:uri="urn:schemas-microsoft-com:office:smarttags" w:element="State">
        <w:smartTag w:uri="urn:schemas-microsoft-com:office:smarttags" w:element="place">
          <w:r w:rsidRPr="00CC3C0D">
            <w:rPr>
              <w:rFonts w:ascii="Bookman Old Style" w:hAnsi="Bookman Old Style" w:cs="Arial"/>
              <w:sz w:val="26"/>
              <w:szCs w:val="26"/>
            </w:rPr>
            <w:t>Minn.</w:t>
          </w:r>
        </w:smartTag>
      </w:smartTag>
      <w:r w:rsidRPr="00CC3C0D">
        <w:rPr>
          <w:rFonts w:ascii="Bookman Old Style" w:hAnsi="Bookman Old Style" w:cs="Arial"/>
          <w:sz w:val="26"/>
          <w:szCs w:val="26"/>
        </w:rPr>
        <w:t xml:space="preserve"> 2001); </w:t>
      </w:r>
      <w:r w:rsidRPr="00CC3C0D">
        <w:rPr>
          <w:rFonts w:ascii="Bookman Old Style" w:hAnsi="Bookman Old Style" w:cs="Arial"/>
          <w:i/>
          <w:sz w:val="26"/>
          <w:szCs w:val="26"/>
        </w:rPr>
        <w:t xml:space="preserve">Fuller v. Pacific  Medical Collections Inc., </w:t>
      </w:r>
      <w:r w:rsidRPr="00CC3C0D">
        <w:rPr>
          <w:rFonts w:ascii="Bookman Old Style" w:hAnsi="Bookman Old Style" w:cs="Arial"/>
          <w:sz w:val="26"/>
          <w:szCs w:val="26"/>
        </w:rPr>
        <w:t xml:space="preserve"> 891 P.2d 300 (Haw. Ct. App. 1995).  Most courts hold it is not necessary for plaintiff to pierce the corporate veil to establish liability if direct involvement by the defendant is shown, although there is some split of authority.  </w:t>
      </w:r>
      <w:r w:rsidRPr="00CC3C0D">
        <w:rPr>
          <w:rFonts w:ascii="Bookman Old Style" w:hAnsi="Bookman Old Style" w:cs="Arial"/>
          <w:i/>
          <w:sz w:val="26"/>
          <w:szCs w:val="26"/>
        </w:rPr>
        <w:t>See Unit Owners Ass’n. v. Miller</w:t>
      </w:r>
      <w:r w:rsidRPr="00CC3C0D">
        <w:rPr>
          <w:rFonts w:ascii="Bookman Old Style" w:hAnsi="Bookman Old Style" w:cs="Arial"/>
          <w:sz w:val="26"/>
          <w:szCs w:val="26"/>
        </w:rPr>
        <w:t xml:space="preserve">, 677 A.2d 138 (N.H. 1996) (New Hampshire UDAP plaintiff must pierce corporate veil to hold officer of corporation liable). </w:t>
      </w:r>
    </w:p>
    <w:p w:rsidR="00607FC0" w:rsidRPr="00CC3C0D" w:rsidRDefault="00607FC0" w:rsidP="0058752A">
      <w:pPr>
        <w:ind w:left="-90" w:firstLine="810"/>
        <w:jc w:val="both"/>
        <w:rPr>
          <w:rFonts w:ascii="Bookman Old Style" w:hAnsi="Bookman Old Style" w:cs="Arial"/>
          <w:sz w:val="26"/>
          <w:szCs w:val="26"/>
        </w:rPr>
      </w:pPr>
    </w:p>
    <w:p w:rsidR="00C20FED" w:rsidRPr="00CC3C0D" w:rsidRDefault="00607FC0" w:rsidP="00813031">
      <w:pPr>
        <w:ind w:left="-90"/>
        <w:jc w:val="both"/>
        <w:rPr>
          <w:rFonts w:ascii="Bookman Old Style" w:hAnsi="Bookman Old Style" w:cs="Arial"/>
          <w:b/>
          <w:sz w:val="26"/>
          <w:szCs w:val="26"/>
          <w:u w:val="single"/>
        </w:rPr>
      </w:pPr>
      <w:r w:rsidRPr="00CC3C0D">
        <w:rPr>
          <w:rFonts w:ascii="Bookman Old Style" w:hAnsi="Bookman Old Style" w:cs="Arial"/>
          <w:sz w:val="26"/>
          <w:szCs w:val="26"/>
        </w:rPr>
        <w:t xml:space="preserve">Other courts have required a showing that the defendant knew of the conduct and had authority to stop it, but failed to take reasonable action to do so. </w:t>
      </w:r>
      <w:r w:rsidRPr="00CC3C0D">
        <w:rPr>
          <w:rFonts w:ascii="Bookman Old Style" w:hAnsi="Bookman Old Style" w:cs="Arial"/>
          <w:i/>
          <w:sz w:val="26"/>
          <w:szCs w:val="26"/>
        </w:rPr>
        <w:t xml:space="preserve">See, e.g, </w:t>
      </w:r>
      <w:r w:rsidRPr="00CC3C0D">
        <w:rPr>
          <w:rFonts w:ascii="Bookman Old Style" w:hAnsi="Bookman Old Style" w:cs="Arial"/>
          <w:sz w:val="26"/>
          <w:szCs w:val="26"/>
        </w:rPr>
        <w:t xml:space="preserve"> </w:t>
      </w:r>
      <w:r w:rsidRPr="00CC3C0D">
        <w:rPr>
          <w:rFonts w:ascii="Bookman Old Style" w:hAnsi="Bookman Old Style" w:cs="Arial"/>
          <w:i/>
          <w:sz w:val="26"/>
          <w:szCs w:val="26"/>
        </w:rPr>
        <w:t>FTC v. Winward Marketing, Ltd.</w:t>
      </w:r>
      <w:r w:rsidRPr="00CC3C0D">
        <w:rPr>
          <w:rFonts w:ascii="Bookman Old Style" w:hAnsi="Bookman Old Style" w:cs="Arial"/>
          <w:sz w:val="26"/>
          <w:szCs w:val="26"/>
        </w:rPr>
        <w:t xml:space="preserve">, 1997 U.S. Dist. LEXIS 17114 (N.D. Ga. 1997); </w:t>
      </w:r>
      <w:r w:rsidRPr="00CC3C0D">
        <w:rPr>
          <w:rFonts w:ascii="Bookman Old Style" w:hAnsi="Bookman Old Style" w:cs="Arial"/>
          <w:i/>
          <w:sz w:val="26"/>
          <w:szCs w:val="26"/>
        </w:rPr>
        <w:t>Nader v. Citron</w:t>
      </w:r>
      <w:r w:rsidRPr="00CC3C0D">
        <w:rPr>
          <w:rFonts w:ascii="Bookman Old Style" w:hAnsi="Bookman Old Style" w:cs="Arial"/>
          <w:sz w:val="26"/>
          <w:szCs w:val="26"/>
        </w:rPr>
        <w:t xml:space="preserve">, 372 </w:t>
      </w:r>
      <w:smartTag w:uri="urn:schemas-microsoft-com:office:smarttags" w:element="State">
        <w:smartTag w:uri="urn:schemas-microsoft-com:office:smarttags" w:element="place">
          <w:r w:rsidRPr="00CC3C0D">
            <w:rPr>
              <w:rFonts w:ascii="Bookman Old Style" w:hAnsi="Bookman Old Style" w:cs="Arial"/>
              <w:sz w:val="26"/>
              <w:szCs w:val="26"/>
            </w:rPr>
            <w:t>Mass.</w:t>
          </w:r>
        </w:smartTag>
      </w:smartTag>
      <w:r w:rsidRPr="00CC3C0D">
        <w:rPr>
          <w:rFonts w:ascii="Bookman Old Style" w:hAnsi="Bookman Old Style" w:cs="Arial"/>
          <w:sz w:val="26"/>
          <w:szCs w:val="26"/>
        </w:rPr>
        <w:t xml:space="preserve"> 96, 360 N.E. 2d 870 (1977); </w:t>
      </w:r>
      <w:r w:rsidRPr="00CC3C0D">
        <w:rPr>
          <w:rFonts w:ascii="Bookman Old Style" w:hAnsi="Bookman Old Style" w:cs="Arial"/>
          <w:i/>
          <w:sz w:val="26"/>
          <w:szCs w:val="26"/>
        </w:rPr>
        <w:t xml:space="preserve"> People by Spitzer v. Telehublink</w:t>
      </w:r>
      <w:r w:rsidRPr="00CC3C0D">
        <w:rPr>
          <w:rFonts w:ascii="Bookman Old Style" w:hAnsi="Bookman Old Style" w:cs="Arial"/>
          <w:sz w:val="26"/>
          <w:szCs w:val="26"/>
        </w:rPr>
        <w:t>, 756 N.Y.S.2d 285 (App. Div. 2003 (holding that officers</w:t>
      </w:r>
      <w:r w:rsidR="00E0113C" w:rsidRPr="00CC3C0D">
        <w:rPr>
          <w:rFonts w:ascii="Bookman Old Style" w:hAnsi="Bookman Old Style" w:cs="Arial"/>
          <w:sz w:val="26"/>
          <w:szCs w:val="26"/>
        </w:rPr>
        <w:t>’</w:t>
      </w:r>
      <w:r w:rsidRPr="00CC3C0D">
        <w:rPr>
          <w:rFonts w:ascii="Bookman Old Style" w:hAnsi="Bookman Old Style" w:cs="Arial"/>
          <w:sz w:val="26"/>
          <w:szCs w:val="26"/>
        </w:rPr>
        <w:t xml:space="preserve"> and directors</w:t>
      </w:r>
      <w:r w:rsidR="00E0113C" w:rsidRPr="00CC3C0D">
        <w:rPr>
          <w:rFonts w:ascii="Bookman Old Style" w:hAnsi="Bookman Old Style" w:cs="Arial"/>
          <w:sz w:val="26"/>
          <w:szCs w:val="26"/>
        </w:rPr>
        <w:t>’</w:t>
      </w:r>
      <w:r w:rsidRPr="00CC3C0D">
        <w:rPr>
          <w:rFonts w:ascii="Bookman Old Style" w:hAnsi="Bookman Old Style" w:cs="Arial"/>
          <w:sz w:val="26"/>
          <w:szCs w:val="26"/>
        </w:rPr>
        <w:t xml:space="preserve"> knowledge of fraudulent acts creat</w:t>
      </w:r>
      <w:r w:rsidR="00E0113C" w:rsidRPr="00CC3C0D">
        <w:rPr>
          <w:rFonts w:ascii="Bookman Old Style" w:hAnsi="Bookman Old Style" w:cs="Arial"/>
          <w:sz w:val="26"/>
          <w:szCs w:val="26"/>
        </w:rPr>
        <w:t>e</w:t>
      </w:r>
      <w:r w:rsidRPr="00CC3C0D">
        <w:rPr>
          <w:rFonts w:ascii="Bookman Old Style" w:hAnsi="Bookman Old Style" w:cs="Arial"/>
          <w:sz w:val="26"/>
          <w:szCs w:val="26"/>
        </w:rPr>
        <w:t xml:space="preserve">s liability).  In one case, the negligence of an officer to learn of and prevent fraudulent conduct was enough to create liability.  </w:t>
      </w:r>
      <w:r w:rsidRPr="00CC3C0D">
        <w:rPr>
          <w:rFonts w:ascii="Bookman Old Style" w:hAnsi="Bookman Old Style" w:cs="Arial"/>
          <w:i/>
          <w:sz w:val="26"/>
          <w:szCs w:val="26"/>
        </w:rPr>
        <w:t>Meyer v. Dygert</w:t>
      </w:r>
      <w:r w:rsidRPr="00CC3C0D">
        <w:rPr>
          <w:rFonts w:ascii="Bookman Old Style" w:hAnsi="Bookman Old Style" w:cs="Arial"/>
          <w:sz w:val="26"/>
          <w:szCs w:val="26"/>
        </w:rPr>
        <w:t xml:space="preserve">, 156 F. Supp. 2d 1081 (D. </w:t>
      </w:r>
      <w:smartTag w:uri="urn:schemas-microsoft-com:office:smarttags" w:element="State">
        <w:smartTag w:uri="urn:schemas-microsoft-com:office:smarttags" w:element="place">
          <w:r w:rsidRPr="00CC3C0D">
            <w:rPr>
              <w:rFonts w:ascii="Bookman Old Style" w:hAnsi="Bookman Old Style" w:cs="Arial"/>
              <w:sz w:val="26"/>
              <w:szCs w:val="26"/>
            </w:rPr>
            <w:t>Minn.</w:t>
          </w:r>
        </w:smartTag>
      </w:smartTag>
      <w:r w:rsidRPr="00CC3C0D">
        <w:rPr>
          <w:rFonts w:ascii="Bookman Old Style" w:hAnsi="Bookman Old Style" w:cs="Arial"/>
          <w:sz w:val="26"/>
          <w:szCs w:val="26"/>
        </w:rPr>
        <w:t xml:space="preserve"> 2001).  These concepts are generally consistent with the factors set out in this instruction.</w:t>
      </w:r>
    </w:p>
    <w:sectPr w:rsidR="00C20FED" w:rsidRPr="00CC3C0D" w:rsidSect="005C2DF4">
      <w:footerReference w:type="default" r:id="rId8"/>
      <w:endnotePr>
        <w:numFmt w:val="decimal"/>
      </w:endnotePr>
      <w:pgSz w:w="12240" w:h="15840"/>
      <w:pgMar w:top="1440" w:right="1440" w:bottom="1440" w:left="1440" w:header="1440" w:footer="6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3EAF">
      <w:r>
        <w:separator/>
      </w:r>
    </w:p>
  </w:endnote>
  <w:endnote w:type="continuationSeparator" w:id="0">
    <w:p w:rsidR="00000000" w:rsidRDefault="00D8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43F" w:rsidRPr="00670236" w:rsidRDefault="009B043F" w:rsidP="00C8120D">
    <w:pPr>
      <w:pStyle w:val="Footer"/>
      <w:tabs>
        <w:tab w:val="clear" w:pos="8640"/>
        <w:tab w:val="right" w:pos="9360"/>
      </w:tabs>
      <w:rPr>
        <w:rFonts w:ascii="Bookman Old Style" w:hAnsi="Bookman Old Style" w:cs="Arial"/>
        <w:sz w:val="26"/>
        <w:szCs w:val="26"/>
      </w:rPr>
    </w:pPr>
    <w:r>
      <w:rPr>
        <w:rFonts w:ascii="Bookman Old Style" w:hAnsi="Bookman Old Style" w:cs="Arial"/>
        <w:sz w:val="26"/>
        <w:szCs w:val="26"/>
      </w:rPr>
      <w:t xml:space="preserve">Added </w:t>
    </w:r>
    <w:r w:rsidRPr="00670236">
      <w:rPr>
        <w:rFonts w:ascii="Bookman Old Style" w:hAnsi="Bookman Old Style" w:cs="Arial"/>
        <w:sz w:val="26"/>
        <w:szCs w:val="26"/>
      </w:rPr>
      <w:t>2005</w:t>
    </w:r>
    <w:r w:rsidRPr="00670236">
      <w:rPr>
        <w:rFonts w:ascii="Bookman Old Style" w:hAnsi="Bookman Old Style" w:cs="Arial"/>
        <w:sz w:val="26"/>
        <w:szCs w:val="26"/>
      </w:rPr>
      <w:tab/>
    </w:r>
    <w:r w:rsidRPr="00670236">
      <w:rPr>
        <w:rFonts w:ascii="Bookman Old Style" w:hAnsi="Bookman Old Style" w:cs="Arial"/>
        <w:sz w:val="26"/>
        <w:szCs w:val="26"/>
      </w:rPr>
      <w:tab/>
      <w:t>10.0</w:t>
    </w:r>
    <w:r>
      <w:rPr>
        <w:rFonts w:ascii="Bookman Old Style" w:hAnsi="Bookman Old Style" w:cs="Arial"/>
        <w:sz w:val="26"/>
        <w:szCs w:val="26"/>
      </w:rPr>
      <w:t>6</w:t>
    </w:r>
    <w:r w:rsidRPr="00670236">
      <w:rPr>
        <w:rFonts w:ascii="Bookman Old Style" w:hAnsi="Bookman Old Style" w:cs="Arial"/>
        <w:sz w:val="26"/>
        <w:szCs w:val="26"/>
      </w:rPr>
      <w:t xml:space="preserve"> - </w:t>
    </w:r>
    <w:r w:rsidRPr="00670236">
      <w:rPr>
        <w:rStyle w:val="PageNumber"/>
        <w:rFonts w:ascii="Bookman Old Style" w:hAnsi="Bookman Old Style" w:cs="Arial"/>
        <w:sz w:val="26"/>
        <w:szCs w:val="26"/>
      </w:rPr>
      <w:fldChar w:fldCharType="begin"/>
    </w:r>
    <w:r w:rsidRPr="00670236">
      <w:rPr>
        <w:rStyle w:val="PageNumber"/>
        <w:rFonts w:ascii="Bookman Old Style" w:hAnsi="Bookman Old Style" w:cs="Arial"/>
        <w:sz w:val="26"/>
        <w:szCs w:val="26"/>
      </w:rPr>
      <w:instrText xml:space="preserve"> PAGE </w:instrText>
    </w:r>
    <w:r w:rsidRPr="00670236">
      <w:rPr>
        <w:rStyle w:val="PageNumber"/>
        <w:rFonts w:ascii="Bookman Old Style" w:hAnsi="Bookman Old Style" w:cs="Arial"/>
        <w:sz w:val="26"/>
        <w:szCs w:val="26"/>
      </w:rPr>
      <w:fldChar w:fldCharType="separate"/>
    </w:r>
    <w:r w:rsidR="00AC039A">
      <w:rPr>
        <w:rStyle w:val="PageNumber"/>
        <w:rFonts w:ascii="Bookman Old Style" w:hAnsi="Bookman Old Style" w:cs="Arial"/>
        <w:noProof/>
        <w:sz w:val="26"/>
        <w:szCs w:val="26"/>
      </w:rPr>
      <w:t>1</w:t>
    </w:r>
    <w:r w:rsidRPr="00670236">
      <w:rPr>
        <w:rStyle w:val="PageNumber"/>
        <w:rFonts w:ascii="Bookman Old Style" w:hAnsi="Bookman Old Style" w:cs="Arial"/>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3EAF">
      <w:r>
        <w:separator/>
      </w:r>
    </w:p>
  </w:footnote>
  <w:footnote w:type="continuationSeparator" w:id="0">
    <w:p w:rsidR="00000000" w:rsidRDefault="00D83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5"/>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8"/>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9"/>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A"/>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2B"/>
    <w:rsid w:val="00004FDE"/>
    <w:rsid w:val="000144B2"/>
    <w:rsid w:val="0005512B"/>
    <w:rsid w:val="000E20E3"/>
    <w:rsid w:val="000F79F5"/>
    <w:rsid w:val="00143C0E"/>
    <w:rsid w:val="00160BBC"/>
    <w:rsid w:val="001B572F"/>
    <w:rsid w:val="00227886"/>
    <w:rsid w:val="002326E8"/>
    <w:rsid w:val="002A4F07"/>
    <w:rsid w:val="00335C6E"/>
    <w:rsid w:val="00364D61"/>
    <w:rsid w:val="00372769"/>
    <w:rsid w:val="003A214C"/>
    <w:rsid w:val="003A2717"/>
    <w:rsid w:val="003B40B4"/>
    <w:rsid w:val="003D7E8F"/>
    <w:rsid w:val="004312AF"/>
    <w:rsid w:val="00456231"/>
    <w:rsid w:val="00554CEE"/>
    <w:rsid w:val="00580526"/>
    <w:rsid w:val="0058752A"/>
    <w:rsid w:val="005C2DF4"/>
    <w:rsid w:val="006050D9"/>
    <w:rsid w:val="00607FC0"/>
    <w:rsid w:val="00626F5C"/>
    <w:rsid w:val="006552AC"/>
    <w:rsid w:val="00670236"/>
    <w:rsid w:val="006A60C5"/>
    <w:rsid w:val="006C71CB"/>
    <w:rsid w:val="006E08CD"/>
    <w:rsid w:val="007062FC"/>
    <w:rsid w:val="00714F7D"/>
    <w:rsid w:val="0072029E"/>
    <w:rsid w:val="007310CB"/>
    <w:rsid w:val="00751FE1"/>
    <w:rsid w:val="007C1642"/>
    <w:rsid w:val="007F186B"/>
    <w:rsid w:val="00803355"/>
    <w:rsid w:val="00812789"/>
    <w:rsid w:val="00813031"/>
    <w:rsid w:val="00846EAF"/>
    <w:rsid w:val="00852A1E"/>
    <w:rsid w:val="00900620"/>
    <w:rsid w:val="009049A1"/>
    <w:rsid w:val="00971857"/>
    <w:rsid w:val="009B043F"/>
    <w:rsid w:val="009C5A2F"/>
    <w:rsid w:val="00AC039A"/>
    <w:rsid w:val="00AD69AD"/>
    <w:rsid w:val="00B42C89"/>
    <w:rsid w:val="00B92BAF"/>
    <w:rsid w:val="00B96365"/>
    <w:rsid w:val="00BE5F1E"/>
    <w:rsid w:val="00C20594"/>
    <w:rsid w:val="00C20FED"/>
    <w:rsid w:val="00C8120D"/>
    <w:rsid w:val="00CC3C0D"/>
    <w:rsid w:val="00D244FB"/>
    <w:rsid w:val="00D83EAF"/>
    <w:rsid w:val="00DB5A76"/>
    <w:rsid w:val="00DD3A7D"/>
    <w:rsid w:val="00E0113C"/>
    <w:rsid w:val="00E07E76"/>
    <w:rsid w:val="00E3521D"/>
    <w:rsid w:val="00E94B7C"/>
    <w:rsid w:val="00E97698"/>
    <w:rsid w:val="00F551FE"/>
    <w:rsid w:val="00F70C11"/>
    <w:rsid w:val="00FE72D8"/>
    <w:rsid w:val="00FF365A"/>
    <w:rsid w:val="00FF530D"/>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numPr>
        <w:numId w:val="7"/>
      </w:numPr>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rsid w:val="005C2DF4"/>
    <w:pPr>
      <w:tabs>
        <w:tab w:val="center" w:pos="4320"/>
        <w:tab w:val="right" w:pos="8640"/>
      </w:tabs>
    </w:pPr>
  </w:style>
  <w:style w:type="character" w:styleId="PageNumber">
    <w:name w:val="page number"/>
    <w:basedOn w:val="DefaultParagraphFont"/>
    <w:rsid w:val="005C2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numPr>
        <w:numId w:val="7"/>
      </w:numPr>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rsid w:val="005C2DF4"/>
    <w:pPr>
      <w:tabs>
        <w:tab w:val="center" w:pos="4320"/>
        <w:tab w:val="right" w:pos="8640"/>
      </w:tabs>
    </w:pPr>
  </w:style>
  <w:style w:type="character" w:styleId="PageNumber">
    <w:name w:val="page number"/>
    <w:basedOn w:val="DefaultParagraphFont"/>
    <w:rsid w:val="005C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(Unfair Trade Practice defined)</vt:lpstr>
    </vt:vector>
  </TitlesOfParts>
  <Company>SOA - Department of Law</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(Unfair Trade Practice defined)</dc:title>
  <dc:subject/>
  <dc:creator>Attorney General</dc:creator>
  <cp:keywords/>
  <dc:description/>
  <cp:lastModifiedBy>Michael Merrington</cp:lastModifiedBy>
  <cp:revision>3</cp:revision>
  <cp:lastPrinted>2005-11-08T19:00:00Z</cp:lastPrinted>
  <dcterms:created xsi:type="dcterms:W3CDTF">2017-04-04T18:49:00Z</dcterms:created>
  <dcterms:modified xsi:type="dcterms:W3CDTF">2017-04-04T18:49:00Z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1905003921</vt:i4>
  </property>
  <property fmtid="{D5CDD505-2E9C-101B-9397-08002B2CF9AE}" pid="3" name="_EmailSubject">
    <vt:lpwstr>Supplement 12 - Civil Pattern Jury Instructions Update</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